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DF" w:rsidRDefault="00473DDF">
      <w:pPr>
        <w:pStyle w:val="PlainText"/>
      </w:pPr>
    </w:p>
    <w:p w:rsidR="00473DDF" w:rsidRDefault="00473DDF">
      <w:pPr>
        <w:pStyle w:val="PlainText"/>
      </w:pPr>
    </w:p>
    <w:p w:rsidR="00473DDF" w:rsidRDefault="00473DDF">
      <w:pPr>
        <w:pStyle w:val="PlainText"/>
      </w:pPr>
    </w:p>
    <w:p w:rsidR="00473DDF" w:rsidRDefault="00473DDF">
      <w:pPr>
        <w:pStyle w:val="PlainText"/>
      </w:pPr>
    </w:p>
    <w:p w:rsidR="00473DDF" w:rsidRDefault="00473DDF">
      <w:pPr>
        <w:pStyle w:val="PlainText"/>
      </w:pPr>
    </w:p>
    <w:p w:rsidR="00473DDF" w:rsidRDefault="00473DDF">
      <w:pPr>
        <w:pStyle w:val="PlainText"/>
        <w:spacing w:line="1600" w:lineRule="exact"/>
        <w:jc w:val="center"/>
        <w:rPr>
          <w:rFonts w:ascii="黑体" w:eastAsia="黑体"/>
          <w:bCs/>
          <w:sz w:val="44"/>
        </w:rPr>
      </w:pPr>
    </w:p>
    <w:p w:rsidR="00473DDF" w:rsidRDefault="00473DDF">
      <w:pPr>
        <w:pStyle w:val="PlainText"/>
        <w:jc w:val="center"/>
        <w:rPr>
          <w:rFonts w:ascii="Times New Roman" w:eastAsia="黑体" w:hAnsi="Times New Roman"/>
          <w:bCs/>
          <w:spacing w:val="80"/>
          <w:sz w:val="52"/>
          <w:szCs w:val="52"/>
        </w:rPr>
      </w:pPr>
      <w:r>
        <w:rPr>
          <w:rFonts w:ascii="Times New Roman" w:eastAsia="黑体" w:hAnsi="Times New Roman" w:hint="eastAsia"/>
          <w:bCs/>
          <w:spacing w:val="80"/>
          <w:sz w:val="52"/>
          <w:szCs w:val="52"/>
        </w:rPr>
        <w:t>涉执房地产处置</w:t>
      </w:r>
    </w:p>
    <w:p w:rsidR="00473DDF" w:rsidRDefault="00473DDF">
      <w:pPr>
        <w:pStyle w:val="PlainText"/>
        <w:jc w:val="center"/>
        <w:rPr>
          <w:rFonts w:ascii="Times New Roman" w:eastAsia="黑体" w:hAnsi="Times New Roman"/>
          <w:bCs/>
          <w:spacing w:val="80"/>
          <w:sz w:val="52"/>
          <w:szCs w:val="52"/>
        </w:rPr>
      </w:pPr>
      <w:r>
        <w:rPr>
          <w:rFonts w:ascii="Times New Roman" w:eastAsia="黑体" w:hAnsi="Times New Roman" w:hint="eastAsia"/>
          <w:bCs/>
          <w:spacing w:val="80"/>
          <w:sz w:val="52"/>
          <w:szCs w:val="52"/>
        </w:rPr>
        <w:t>司法评估报告</w:t>
      </w:r>
    </w:p>
    <w:p w:rsidR="00473DDF" w:rsidRDefault="00473DDF">
      <w:pPr>
        <w:pStyle w:val="PlainText"/>
        <w:jc w:val="center"/>
        <w:rPr>
          <w:rFonts w:ascii="Times New Roman" w:eastAsia="黑体" w:hAnsi="Times New Roman"/>
          <w:bCs/>
          <w:spacing w:val="80"/>
          <w:sz w:val="30"/>
          <w:szCs w:val="30"/>
        </w:rPr>
      </w:pPr>
    </w:p>
    <w:p w:rsidR="00473DDF" w:rsidRDefault="00473DDF">
      <w:pPr>
        <w:pStyle w:val="PlainText"/>
        <w:jc w:val="center"/>
        <w:rPr>
          <w:rFonts w:ascii="Times New Roman" w:hAnsi="Times New Roman"/>
          <w:sz w:val="30"/>
          <w:szCs w:val="30"/>
        </w:rPr>
      </w:pPr>
    </w:p>
    <w:p w:rsidR="00473DDF" w:rsidRDefault="00473DDF">
      <w:pPr>
        <w:pStyle w:val="PlainText"/>
        <w:spacing w:line="1600" w:lineRule="exact"/>
        <w:jc w:val="center"/>
        <w:rPr>
          <w:rFonts w:ascii="黑体" w:eastAsia="黑体"/>
          <w:b/>
          <w:sz w:val="48"/>
          <w:szCs w:val="48"/>
        </w:rPr>
      </w:pPr>
    </w:p>
    <w:p w:rsidR="00473DDF" w:rsidRDefault="00473DDF">
      <w:pPr>
        <w:pStyle w:val="PlainText"/>
      </w:pPr>
    </w:p>
    <w:p w:rsidR="00473DDF" w:rsidRDefault="00473DDF">
      <w:pPr>
        <w:pStyle w:val="PlainText"/>
      </w:pPr>
    </w:p>
    <w:p w:rsidR="00473DDF" w:rsidRDefault="00473DDF">
      <w:pPr>
        <w:pStyle w:val="PlainText"/>
      </w:pPr>
    </w:p>
    <w:p w:rsidR="00473DDF" w:rsidRDefault="00473DDF">
      <w:pPr>
        <w:pStyle w:val="PlainText"/>
      </w:pPr>
    </w:p>
    <w:p w:rsidR="00473DDF" w:rsidRDefault="00473DDF">
      <w:pPr>
        <w:pStyle w:val="PlainText"/>
      </w:pPr>
    </w:p>
    <w:p w:rsidR="00473DDF" w:rsidRDefault="00473DDF">
      <w:pPr>
        <w:pStyle w:val="PlainText"/>
      </w:pPr>
    </w:p>
    <w:p w:rsidR="00473DDF" w:rsidRDefault="00473DDF">
      <w:pPr>
        <w:pStyle w:val="PlainText"/>
      </w:pPr>
    </w:p>
    <w:p w:rsidR="00473DDF" w:rsidRDefault="00473DDF">
      <w:pPr>
        <w:pStyle w:val="PlainText"/>
      </w:pPr>
    </w:p>
    <w:p w:rsidR="00473DDF" w:rsidRDefault="00473DDF">
      <w:pPr>
        <w:pStyle w:val="PlainText"/>
      </w:pPr>
    </w:p>
    <w:p w:rsidR="00473DDF" w:rsidRDefault="00473DDF">
      <w:pPr>
        <w:pStyle w:val="PlainText"/>
      </w:pPr>
    </w:p>
    <w:p w:rsidR="00473DDF" w:rsidRDefault="00473DDF">
      <w:pPr>
        <w:pStyle w:val="PlainText"/>
      </w:pPr>
    </w:p>
    <w:p w:rsidR="00473DDF" w:rsidRDefault="00473DDF">
      <w:pPr>
        <w:pStyle w:val="PlainText"/>
      </w:pPr>
    </w:p>
    <w:p w:rsidR="00473DDF" w:rsidRDefault="00473DDF">
      <w:pPr>
        <w:pStyle w:val="PlainText"/>
        <w:spacing w:line="360" w:lineRule="auto"/>
        <w:ind w:left="2080" w:hangingChars="650" w:hanging="2080"/>
        <w:rPr>
          <w:rFonts w:hAnsi="宋体"/>
          <w:sz w:val="24"/>
        </w:rPr>
      </w:pPr>
      <w:r>
        <w:rPr>
          <w:rFonts w:ascii="Times New Roman" w:eastAsia="黑体" w:hAnsi="Times New Roman" w:hint="eastAsia"/>
          <w:spacing w:val="40"/>
          <w:sz w:val="24"/>
        </w:rPr>
        <w:t>估价项目名称</w:t>
      </w:r>
      <w:r>
        <w:rPr>
          <w:rFonts w:ascii="Times New Roman" w:eastAsia="黑体" w:hAnsi="Times New Roman" w:hint="eastAsia"/>
          <w:sz w:val="24"/>
        </w:rPr>
        <w:t>：</w:t>
      </w:r>
      <w:r>
        <w:rPr>
          <w:rFonts w:hAnsi="宋体" w:hint="eastAsia"/>
          <w:sz w:val="24"/>
        </w:rPr>
        <w:t>卓国彪、尹敬善名下的位于丹东市振兴区滨江中路</w:t>
      </w:r>
      <w:r>
        <w:rPr>
          <w:rFonts w:hAnsi="宋体"/>
          <w:sz w:val="24"/>
        </w:rPr>
        <w:t>132</w:t>
      </w:r>
      <w:r>
        <w:rPr>
          <w:rFonts w:hAnsi="宋体" w:hint="eastAsia"/>
          <w:sz w:val="24"/>
        </w:rPr>
        <w:t>号</w:t>
      </w:r>
      <w:r>
        <w:rPr>
          <w:rFonts w:hAnsi="宋体"/>
          <w:sz w:val="24"/>
        </w:rPr>
        <w:t>2704</w:t>
      </w:r>
      <w:r>
        <w:rPr>
          <w:rFonts w:hAnsi="宋体" w:hint="eastAsia"/>
          <w:sz w:val="24"/>
        </w:rPr>
        <w:t>室“太阳世纪广场”小区的一套住宅房地产市场价值估价</w:t>
      </w:r>
    </w:p>
    <w:p w:rsidR="00473DDF" w:rsidRDefault="00473DDF">
      <w:pPr>
        <w:pStyle w:val="PlainText"/>
        <w:spacing w:line="360" w:lineRule="auto"/>
        <w:rPr>
          <w:rFonts w:ascii="Times New Roman" w:hAnsi="Times New Roman"/>
          <w:sz w:val="24"/>
        </w:rPr>
      </w:pPr>
      <w:r>
        <w:rPr>
          <w:rFonts w:ascii="Times New Roman" w:eastAsia="黑体" w:hAnsi="Times New Roman" w:hint="eastAsia"/>
          <w:spacing w:val="68"/>
          <w:sz w:val="24"/>
        </w:rPr>
        <w:t>估价委托人</w:t>
      </w:r>
      <w:r>
        <w:rPr>
          <w:rFonts w:ascii="Times New Roman" w:eastAsia="黑体" w:hAnsi="Times New Roman" w:hint="eastAsia"/>
          <w:sz w:val="24"/>
        </w:rPr>
        <w:t>：</w:t>
      </w:r>
      <w:r>
        <w:rPr>
          <w:rFonts w:hAnsi="宋体" w:hint="eastAsia"/>
          <w:sz w:val="24"/>
        </w:rPr>
        <w:t>丹东市中级人民法院</w:t>
      </w:r>
    </w:p>
    <w:p w:rsidR="00473DDF" w:rsidRDefault="00473DDF">
      <w:pPr>
        <w:pStyle w:val="PlainText"/>
        <w:spacing w:line="360" w:lineRule="auto"/>
        <w:rPr>
          <w:rFonts w:ascii="Times New Roman" w:eastAsia="黑体" w:hAnsi="Times New Roman"/>
          <w:sz w:val="24"/>
        </w:rPr>
      </w:pPr>
      <w:r>
        <w:rPr>
          <w:rFonts w:ascii="Times New Roman" w:eastAsia="黑体" w:hAnsi="Times New Roman" w:hint="eastAsia"/>
          <w:spacing w:val="17"/>
          <w:sz w:val="24"/>
        </w:rPr>
        <w:t>房地产估价机构</w:t>
      </w:r>
      <w:r>
        <w:rPr>
          <w:rFonts w:ascii="Times New Roman" w:eastAsia="黑体" w:hAnsi="Times New Roman" w:hint="eastAsia"/>
          <w:sz w:val="24"/>
        </w:rPr>
        <w:t>：</w:t>
      </w:r>
      <w:r>
        <w:rPr>
          <w:rFonts w:hAnsi="宋体" w:hint="eastAsia"/>
          <w:sz w:val="24"/>
        </w:rPr>
        <w:t>辽宁房信房地产土地资产评估有限公司</w:t>
      </w:r>
    </w:p>
    <w:p w:rsidR="00473DDF" w:rsidRDefault="00473DDF">
      <w:pPr>
        <w:pStyle w:val="PlainText"/>
        <w:spacing w:line="360" w:lineRule="auto"/>
        <w:rPr>
          <w:rFonts w:ascii="Times New Roman" w:hAnsi="Times New Roman"/>
          <w:sz w:val="24"/>
        </w:rPr>
      </w:pPr>
      <w:r>
        <w:rPr>
          <w:rFonts w:ascii="Times New Roman" w:eastAsia="黑体" w:hAnsi="Times New Roman" w:hint="eastAsia"/>
          <w:sz w:val="24"/>
        </w:rPr>
        <w:t>注册房地产估价师：</w:t>
      </w:r>
      <w:r>
        <w:rPr>
          <w:rFonts w:ascii="Times New Roman" w:hAnsi="Times New Roman" w:hint="eastAsia"/>
          <w:sz w:val="24"/>
        </w:rPr>
        <w:t>陈树君（注册号</w:t>
      </w:r>
      <w:r>
        <w:rPr>
          <w:rFonts w:hAnsi="宋体"/>
          <w:sz w:val="24"/>
        </w:rPr>
        <w:t>2120110084</w:t>
      </w:r>
      <w:r>
        <w:rPr>
          <w:rFonts w:ascii="Times New Roman" w:hAnsi="Times New Roman" w:hint="eastAsia"/>
          <w:sz w:val="24"/>
        </w:rPr>
        <w:t>），宋江明（注册号</w:t>
      </w:r>
      <w:r>
        <w:rPr>
          <w:rFonts w:hAnsi="宋体"/>
          <w:sz w:val="24"/>
        </w:rPr>
        <w:t>2120190060</w:t>
      </w:r>
      <w:r>
        <w:rPr>
          <w:rFonts w:ascii="Times New Roman" w:hAnsi="Times New Roman" w:hint="eastAsia"/>
          <w:sz w:val="24"/>
        </w:rPr>
        <w:t>）</w:t>
      </w:r>
    </w:p>
    <w:p w:rsidR="00473DDF" w:rsidRDefault="00473DDF">
      <w:pPr>
        <w:pStyle w:val="PlainText"/>
        <w:spacing w:line="360" w:lineRule="auto"/>
        <w:rPr>
          <w:rFonts w:ascii="Times New Roman" w:hAnsi="Times New Roman"/>
          <w:color w:val="FF0000"/>
          <w:spacing w:val="-6"/>
          <w:sz w:val="24"/>
        </w:rPr>
      </w:pPr>
      <w:r>
        <w:rPr>
          <w:rFonts w:ascii="Times New Roman" w:eastAsia="黑体" w:hAnsi="Times New Roman" w:hint="eastAsia"/>
          <w:sz w:val="24"/>
        </w:rPr>
        <w:t>估价报告出具日期：</w:t>
      </w:r>
      <w:r>
        <w:rPr>
          <w:sz w:val="24"/>
        </w:rPr>
        <w:t>2020</w:t>
      </w:r>
      <w:r>
        <w:rPr>
          <w:rFonts w:hint="eastAsia"/>
          <w:sz w:val="24"/>
        </w:rPr>
        <w:t>年</w:t>
      </w:r>
      <w:r>
        <w:rPr>
          <w:sz w:val="24"/>
        </w:rPr>
        <w:t>2</w:t>
      </w:r>
      <w:r>
        <w:rPr>
          <w:rFonts w:hint="eastAsia"/>
          <w:sz w:val="24"/>
        </w:rPr>
        <w:t>月</w:t>
      </w:r>
      <w:r>
        <w:rPr>
          <w:sz w:val="24"/>
        </w:rPr>
        <w:t>13</w:t>
      </w:r>
      <w:r>
        <w:rPr>
          <w:rFonts w:hint="eastAsia"/>
          <w:sz w:val="24"/>
        </w:rPr>
        <w:t>日</w:t>
      </w:r>
    </w:p>
    <w:p w:rsidR="00473DDF" w:rsidRDefault="00473DDF">
      <w:pPr>
        <w:pStyle w:val="PlainText"/>
        <w:spacing w:line="360" w:lineRule="auto"/>
        <w:rPr>
          <w:sz w:val="32"/>
        </w:rPr>
      </w:pPr>
      <w:r>
        <w:rPr>
          <w:rFonts w:ascii="Times New Roman" w:eastAsia="黑体" w:hAnsi="Times New Roman" w:hint="eastAsia"/>
          <w:spacing w:val="40"/>
          <w:sz w:val="24"/>
        </w:rPr>
        <w:t>估价报告编号</w:t>
      </w:r>
      <w:r>
        <w:rPr>
          <w:rFonts w:ascii="Times New Roman" w:eastAsia="黑体" w:hAnsi="Times New Roman" w:hint="eastAsia"/>
          <w:sz w:val="24"/>
        </w:rPr>
        <w:t>：</w:t>
      </w:r>
      <w:r>
        <w:rPr>
          <w:rFonts w:hint="eastAsia"/>
          <w:sz w:val="24"/>
        </w:rPr>
        <w:t>房信评估（大）字</w:t>
      </w:r>
      <w:r>
        <w:rPr>
          <w:sz w:val="24"/>
        </w:rPr>
        <w:t>[2020]</w:t>
      </w:r>
      <w:r>
        <w:rPr>
          <w:rFonts w:hint="eastAsia"/>
          <w:sz w:val="24"/>
        </w:rPr>
        <w:t>第</w:t>
      </w:r>
      <w:r>
        <w:rPr>
          <w:sz w:val="24"/>
        </w:rPr>
        <w:t>SF004</w:t>
      </w:r>
      <w:r>
        <w:rPr>
          <w:rFonts w:hint="eastAsia"/>
          <w:sz w:val="24"/>
        </w:rPr>
        <w:t>号</w:t>
      </w:r>
    </w:p>
    <w:p w:rsidR="00473DDF" w:rsidRDefault="00473DDF">
      <w:pPr>
        <w:spacing w:line="480" w:lineRule="auto"/>
        <w:jc w:val="center"/>
        <w:rPr>
          <w:rFonts w:ascii="黑体" w:eastAsia="黑体" w:hAnsi="黑体" w:cs="黑体"/>
          <w:sz w:val="36"/>
          <w:szCs w:val="36"/>
        </w:rPr>
        <w:sectPr w:rsidR="00473DDF">
          <w:headerReference w:type="even" r:id="rId7"/>
          <w:headerReference w:type="default" r:id="rId8"/>
          <w:footerReference w:type="even" r:id="rId9"/>
          <w:footerReference w:type="default" r:id="rId10"/>
          <w:headerReference w:type="first" r:id="rId11"/>
          <w:footerReference w:type="first" r:id="rId12"/>
          <w:pgSz w:w="11907" w:h="16840"/>
          <w:pgMar w:top="1440" w:right="1797" w:bottom="1440" w:left="1797" w:header="851" w:footer="851" w:gutter="0"/>
          <w:pgNumType w:start="1"/>
          <w:cols w:space="720"/>
          <w:docGrid w:linePitch="312"/>
        </w:sectPr>
      </w:pPr>
    </w:p>
    <w:p w:rsidR="00473DDF" w:rsidRDefault="00473DDF">
      <w:pPr>
        <w:spacing w:line="480" w:lineRule="auto"/>
        <w:jc w:val="center"/>
        <w:rPr>
          <w:rFonts w:ascii="黑体" w:eastAsia="黑体" w:hAnsi="黑体" w:cs="黑体"/>
          <w:sz w:val="36"/>
          <w:szCs w:val="36"/>
        </w:rPr>
      </w:pPr>
      <w:r>
        <w:rPr>
          <w:rFonts w:ascii="黑体" w:eastAsia="黑体" w:hAnsi="黑体" w:cs="黑体" w:hint="eastAsia"/>
          <w:sz w:val="36"/>
          <w:szCs w:val="36"/>
        </w:rPr>
        <w:t>致估价委托人函</w:t>
      </w:r>
    </w:p>
    <w:p w:rsidR="00473DDF" w:rsidRDefault="00473DDF" w:rsidP="00822204">
      <w:pPr>
        <w:pStyle w:val="PlainText"/>
        <w:spacing w:beforeLines="25" w:afterLines="25" w:line="300" w:lineRule="auto"/>
        <w:rPr>
          <w:rFonts w:ascii="Times New Roman" w:eastAsia="黑体" w:hAnsi="Times New Roman"/>
          <w:b/>
          <w:bCs/>
          <w:color w:val="000000"/>
          <w:sz w:val="24"/>
        </w:rPr>
      </w:pPr>
      <w:r>
        <w:rPr>
          <w:rFonts w:ascii="黑体" w:eastAsia="黑体" w:hAnsi="宋体" w:cs="宋体" w:hint="eastAsia"/>
          <w:bCs/>
          <w:sz w:val="24"/>
        </w:rPr>
        <w:t>估价委托人</w:t>
      </w:r>
      <w:r>
        <w:rPr>
          <w:rFonts w:ascii="黑体" w:eastAsia="黑体" w:hAnsi="宋体" w:cs="宋体"/>
          <w:bCs/>
          <w:sz w:val="24"/>
        </w:rPr>
        <w:t>—</w:t>
      </w:r>
      <w:r>
        <w:rPr>
          <w:rFonts w:ascii="黑体" w:eastAsia="黑体" w:hAnsi="宋体" w:cs="宋体" w:hint="eastAsia"/>
          <w:bCs/>
          <w:sz w:val="24"/>
        </w:rPr>
        <w:t>丹东市中级人民法院</w:t>
      </w:r>
      <w:r>
        <w:rPr>
          <w:rFonts w:ascii="Times New Roman" w:eastAsia="黑体" w:hAnsi="Times New Roman" w:hint="eastAsia"/>
          <w:b/>
          <w:bCs/>
          <w:color w:val="000000"/>
          <w:sz w:val="24"/>
        </w:rPr>
        <w:t>：</w:t>
      </w:r>
    </w:p>
    <w:p w:rsidR="00473DDF" w:rsidRDefault="00473DDF" w:rsidP="00822204">
      <w:pPr>
        <w:pStyle w:val="PlainText"/>
        <w:spacing w:beforeLines="25" w:afterLines="25" w:line="360" w:lineRule="auto"/>
        <w:ind w:firstLineChars="200" w:firstLine="480"/>
        <w:rPr>
          <w:rFonts w:hAnsi="宋体"/>
          <w:sz w:val="24"/>
        </w:rPr>
      </w:pPr>
      <w:r>
        <w:rPr>
          <w:rFonts w:ascii="Times New Roman" w:hAnsi="Times New Roman" w:hint="eastAsia"/>
          <w:color w:val="000000"/>
          <w:sz w:val="24"/>
        </w:rPr>
        <w:t>我们依据</w:t>
      </w:r>
      <w:r>
        <w:rPr>
          <w:rFonts w:hAnsi="宋体" w:hint="eastAsia"/>
          <w:sz w:val="24"/>
        </w:rPr>
        <w:t>《辽宁省丹东市中级人民法院委托书》登记号：（</w:t>
      </w:r>
      <w:r>
        <w:rPr>
          <w:rFonts w:hAnsi="宋体"/>
          <w:sz w:val="24"/>
        </w:rPr>
        <w:t>2019</w:t>
      </w:r>
      <w:r>
        <w:rPr>
          <w:rFonts w:hAnsi="宋体" w:hint="eastAsia"/>
          <w:sz w:val="24"/>
        </w:rPr>
        <w:t>）辽</w:t>
      </w:r>
      <w:r>
        <w:rPr>
          <w:rFonts w:hAnsi="宋体"/>
          <w:sz w:val="24"/>
        </w:rPr>
        <w:t>06</w:t>
      </w:r>
      <w:r>
        <w:rPr>
          <w:rFonts w:hAnsi="宋体" w:hint="eastAsia"/>
          <w:sz w:val="24"/>
        </w:rPr>
        <w:t>执</w:t>
      </w:r>
      <w:r>
        <w:rPr>
          <w:rFonts w:hAnsi="宋体"/>
          <w:sz w:val="24"/>
        </w:rPr>
        <w:t>181</w:t>
      </w:r>
      <w:r>
        <w:rPr>
          <w:rFonts w:hAnsi="宋体" w:hint="eastAsia"/>
          <w:sz w:val="24"/>
        </w:rPr>
        <w:t>号，</w:t>
      </w:r>
      <w:r>
        <w:rPr>
          <w:rFonts w:ascii="Times New Roman" w:hAnsi="Times New Roman" w:hint="eastAsia"/>
          <w:color w:val="000000"/>
          <w:sz w:val="24"/>
        </w:rPr>
        <w:t>接受贵院的委托，选派估价人员，对用于人民法院确定财产处置参考价的</w:t>
      </w:r>
      <w:r>
        <w:rPr>
          <w:rFonts w:hAnsi="宋体" w:hint="eastAsia"/>
          <w:sz w:val="24"/>
        </w:rPr>
        <w:t>房地产进行了市场价值估价。</w:t>
      </w:r>
      <w:r>
        <w:rPr>
          <w:rFonts w:ascii="Times New Roman" w:hAnsi="Times New Roman" w:hint="eastAsia"/>
          <w:color w:val="000000"/>
          <w:sz w:val="24"/>
        </w:rPr>
        <w:t>现函告如下：</w:t>
      </w:r>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hint="eastAsia"/>
          <w:color w:val="000000"/>
          <w:sz w:val="24"/>
        </w:rPr>
        <w:t>估价目的：为人民法院确定财产处置参考价提供参考依据。</w:t>
      </w:r>
    </w:p>
    <w:p w:rsidR="00473DDF" w:rsidRDefault="00473DDF" w:rsidP="00822204">
      <w:pPr>
        <w:pStyle w:val="PlainText"/>
        <w:spacing w:beforeLines="25" w:afterLines="25" w:line="360" w:lineRule="auto"/>
        <w:ind w:firstLineChars="200" w:firstLine="480"/>
        <w:rPr>
          <w:rFonts w:ascii="Times New Roman" w:hAnsi="Times New Roman"/>
          <w:sz w:val="24"/>
        </w:rPr>
      </w:pPr>
      <w:r>
        <w:rPr>
          <w:rFonts w:ascii="Times New Roman" w:hAnsi="Times New Roman" w:hint="eastAsia"/>
          <w:color w:val="000000"/>
          <w:sz w:val="24"/>
        </w:rPr>
        <w:t>估价对象：</w:t>
      </w:r>
      <w:r>
        <w:rPr>
          <w:rFonts w:hAnsi="宋体" w:hint="eastAsia"/>
          <w:sz w:val="24"/>
        </w:rPr>
        <w:t>卓国彪、尹敬善名下的</w:t>
      </w:r>
      <w:r>
        <w:rPr>
          <w:rFonts w:ascii="Times New Roman" w:hAnsi="Times New Roman" w:hint="eastAsia"/>
          <w:sz w:val="24"/>
        </w:rPr>
        <w:t>位于丹东市振兴区滨江中路</w:t>
      </w:r>
      <w:r>
        <w:rPr>
          <w:rFonts w:ascii="Times New Roman" w:hAnsi="Times New Roman"/>
          <w:sz w:val="24"/>
        </w:rPr>
        <w:t>132</w:t>
      </w:r>
      <w:r>
        <w:rPr>
          <w:rFonts w:ascii="Times New Roman" w:hAnsi="Times New Roman" w:hint="eastAsia"/>
          <w:sz w:val="24"/>
        </w:rPr>
        <w:t>号</w:t>
      </w:r>
      <w:r>
        <w:rPr>
          <w:rFonts w:ascii="Times New Roman" w:hAnsi="Times New Roman"/>
          <w:sz w:val="24"/>
        </w:rPr>
        <w:t>2704</w:t>
      </w:r>
      <w:r>
        <w:rPr>
          <w:rFonts w:ascii="Times New Roman" w:hAnsi="Times New Roman" w:hint="eastAsia"/>
          <w:sz w:val="24"/>
        </w:rPr>
        <w:t>室</w:t>
      </w:r>
      <w:r>
        <w:rPr>
          <w:rFonts w:hAnsi="宋体" w:hint="eastAsia"/>
          <w:sz w:val="24"/>
        </w:rPr>
        <w:t>“太阳世纪广场”小区</w:t>
      </w:r>
      <w:r>
        <w:rPr>
          <w:rFonts w:ascii="Times New Roman" w:hAnsi="Times New Roman" w:hint="eastAsia"/>
          <w:sz w:val="24"/>
        </w:rPr>
        <w:t>的一套住宅房地产，建筑面积为</w:t>
      </w:r>
      <w:r>
        <w:rPr>
          <w:rFonts w:ascii="Times New Roman" w:hAnsi="Times New Roman"/>
          <w:sz w:val="24"/>
        </w:rPr>
        <w:t>228.24</w:t>
      </w:r>
      <w:r>
        <w:rPr>
          <w:rFonts w:ascii="Times New Roman" w:hAnsi="Times New Roman" w:hint="eastAsia"/>
          <w:sz w:val="24"/>
        </w:rPr>
        <w:t>平方米。</w:t>
      </w:r>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hint="eastAsia"/>
          <w:color w:val="000000"/>
          <w:sz w:val="24"/>
        </w:rPr>
        <w:t>价值时点：</w:t>
      </w:r>
      <w:r>
        <w:rPr>
          <w:rFonts w:ascii="Times New Roman" w:hAnsi="Times New Roman"/>
          <w:color w:val="000000"/>
          <w:sz w:val="24"/>
        </w:rPr>
        <w:t>2020</w:t>
      </w:r>
      <w:r>
        <w:rPr>
          <w:rFonts w:ascii="Times New Roman" w:hAnsi="Times New Roman" w:hint="eastAsia"/>
          <w:color w:val="000000"/>
          <w:sz w:val="24"/>
        </w:rPr>
        <w:t>年</w:t>
      </w:r>
      <w:r>
        <w:rPr>
          <w:rFonts w:ascii="Times New Roman" w:hAnsi="Times New Roman"/>
          <w:color w:val="000000"/>
          <w:sz w:val="24"/>
        </w:rPr>
        <w:t>1</w:t>
      </w:r>
      <w:r>
        <w:rPr>
          <w:rFonts w:ascii="Times New Roman" w:hAnsi="Times New Roman" w:hint="eastAsia"/>
          <w:color w:val="000000"/>
          <w:sz w:val="24"/>
        </w:rPr>
        <w:t>月</w:t>
      </w:r>
      <w:r>
        <w:rPr>
          <w:rFonts w:ascii="Times New Roman" w:hAnsi="Times New Roman"/>
          <w:color w:val="000000"/>
          <w:sz w:val="24"/>
        </w:rPr>
        <w:t>17</w:t>
      </w:r>
      <w:r>
        <w:rPr>
          <w:rFonts w:ascii="Times New Roman" w:hAnsi="Times New Roman" w:hint="eastAsia"/>
          <w:color w:val="000000"/>
          <w:sz w:val="24"/>
        </w:rPr>
        <w:t>日。</w:t>
      </w:r>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hint="eastAsia"/>
          <w:color w:val="000000"/>
          <w:sz w:val="24"/>
        </w:rPr>
        <w:t>价值类型：市场价值。</w:t>
      </w:r>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hint="eastAsia"/>
          <w:color w:val="000000"/>
          <w:sz w:val="24"/>
        </w:rPr>
        <w:t>估价方法：比较法和收益法。</w:t>
      </w:r>
    </w:p>
    <w:p w:rsidR="00473DDF" w:rsidRDefault="00473DDF" w:rsidP="00822204">
      <w:pPr>
        <w:pStyle w:val="PlainText"/>
        <w:spacing w:beforeLines="25" w:afterLines="25" w:line="360" w:lineRule="auto"/>
        <w:ind w:firstLineChars="200" w:firstLine="480"/>
        <w:rPr>
          <w:rFonts w:hAnsi="宋体"/>
          <w:bCs/>
          <w:sz w:val="24"/>
        </w:rPr>
      </w:pPr>
      <w:r>
        <w:rPr>
          <w:rFonts w:hAnsi="宋体" w:hint="eastAsia"/>
          <w:bCs/>
          <w:sz w:val="24"/>
        </w:rPr>
        <w:t>估价结果：</w:t>
      </w:r>
    </w:p>
    <w:tbl>
      <w:tblPr>
        <w:tblW w:w="91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493"/>
        <w:gridCol w:w="923"/>
        <w:gridCol w:w="2394"/>
        <w:gridCol w:w="645"/>
        <w:gridCol w:w="895"/>
        <w:gridCol w:w="910"/>
        <w:gridCol w:w="1005"/>
        <w:gridCol w:w="885"/>
      </w:tblGrid>
      <w:tr w:rsidR="00473DDF">
        <w:trPr>
          <w:trHeight w:val="521"/>
          <w:jc w:val="center"/>
        </w:trPr>
        <w:tc>
          <w:tcPr>
            <w:tcW w:w="1493" w:type="dxa"/>
            <w:tcBorders>
              <w:top w:val="single" w:sz="8" w:space="0" w:color="auto"/>
            </w:tcBorders>
            <w:vAlign w:val="center"/>
          </w:tcPr>
          <w:p w:rsidR="00473DDF" w:rsidRDefault="00473DDF">
            <w:pPr>
              <w:widowControl/>
              <w:jc w:val="center"/>
              <w:textAlignment w:val="center"/>
              <w:rPr>
                <w:rFonts w:ascii="黑体" w:eastAsia="黑体" w:hAnsi="宋体" w:cs="宋体"/>
                <w:kern w:val="0"/>
                <w:szCs w:val="21"/>
              </w:rPr>
            </w:pPr>
            <w:r>
              <w:rPr>
                <w:rFonts w:ascii="黑体" w:eastAsia="黑体" w:hAnsi="宋体" w:cs="黑体" w:hint="eastAsia"/>
                <w:color w:val="000000"/>
                <w:kern w:val="0"/>
                <w:szCs w:val="21"/>
              </w:rPr>
              <w:t>房屋所有权证号</w:t>
            </w:r>
          </w:p>
        </w:tc>
        <w:tc>
          <w:tcPr>
            <w:tcW w:w="923" w:type="dxa"/>
            <w:tcBorders>
              <w:top w:val="single" w:sz="8" w:space="0" w:color="auto"/>
            </w:tcBorders>
            <w:vAlign w:val="center"/>
          </w:tcPr>
          <w:p w:rsidR="00473DDF" w:rsidRDefault="00473DDF">
            <w:pPr>
              <w:widowControl/>
              <w:jc w:val="center"/>
              <w:textAlignment w:val="center"/>
              <w:rPr>
                <w:rFonts w:ascii="黑体" w:eastAsia="黑体" w:hAnsi="宋体" w:cs="宋体"/>
                <w:kern w:val="0"/>
                <w:szCs w:val="21"/>
              </w:rPr>
            </w:pPr>
            <w:r>
              <w:rPr>
                <w:rFonts w:ascii="黑体" w:eastAsia="黑体" w:hAnsi="宋体" w:cs="黑体" w:hint="eastAsia"/>
                <w:color w:val="000000"/>
                <w:kern w:val="0"/>
                <w:szCs w:val="21"/>
              </w:rPr>
              <w:t>权利人</w:t>
            </w:r>
          </w:p>
        </w:tc>
        <w:tc>
          <w:tcPr>
            <w:tcW w:w="2394" w:type="dxa"/>
            <w:tcBorders>
              <w:top w:val="single" w:sz="8" w:space="0" w:color="auto"/>
            </w:tcBorders>
            <w:vAlign w:val="center"/>
          </w:tcPr>
          <w:p w:rsidR="00473DDF" w:rsidRDefault="00473DDF">
            <w:pPr>
              <w:widowControl/>
              <w:jc w:val="center"/>
              <w:rPr>
                <w:rFonts w:ascii="黑体" w:eastAsia="黑体" w:hAnsi="宋体" w:cs="宋体"/>
                <w:kern w:val="0"/>
                <w:szCs w:val="21"/>
              </w:rPr>
            </w:pPr>
            <w:r>
              <w:rPr>
                <w:rFonts w:ascii="黑体" w:eastAsia="黑体" w:hAnsi="宋体" w:cs="宋体" w:hint="eastAsia"/>
                <w:kern w:val="0"/>
                <w:szCs w:val="21"/>
              </w:rPr>
              <w:t>房屋坐落</w:t>
            </w:r>
          </w:p>
        </w:tc>
        <w:tc>
          <w:tcPr>
            <w:tcW w:w="645" w:type="dxa"/>
            <w:tcBorders>
              <w:top w:val="single" w:sz="8" w:space="0" w:color="auto"/>
            </w:tcBorders>
            <w:vAlign w:val="center"/>
          </w:tcPr>
          <w:p w:rsidR="00473DDF" w:rsidRDefault="00473DDF">
            <w:pPr>
              <w:widowControl/>
              <w:jc w:val="center"/>
              <w:rPr>
                <w:rFonts w:ascii="黑体" w:eastAsia="黑体" w:hAnsi="宋体" w:cs="宋体"/>
                <w:kern w:val="0"/>
                <w:szCs w:val="21"/>
              </w:rPr>
            </w:pPr>
            <w:r>
              <w:rPr>
                <w:rFonts w:ascii="黑体" w:eastAsia="黑体" w:hAnsi="宋体" w:cs="宋体" w:hint="eastAsia"/>
                <w:kern w:val="0"/>
                <w:szCs w:val="21"/>
              </w:rPr>
              <w:t>设计用途</w:t>
            </w:r>
          </w:p>
        </w:tc>
        <w:tc>
          <w:tcPr>
            <w:tcW w:w="895" w:type="dxa"/>
            <w:tcBorders>
              <w:top w:val="single" w:sz="8" w:space="0" w:color="auto"/>
            </w:tcBorders>
            <w:vAlign w:val="center"/>
          </w:tcPr>
          <w:p w:rsidR="00473DDF" w:rsidRDefault="00473DDF">
            <w:pPr>
              <w:widowControl/>
              <w:jc w:val="center"/>
              <w:rPr>
                <w:rFonts w:ascii="黑体" w:eastAsia="黑体" w:hAnsi="宋体" w:cs="宋体"/>
                <w:kern w:val="0"/>
                <w:szCs w:val="21"/>
              </w:rPr>
            </w:pPr>
            <w:r>
              <w:rPr>
                <w:rFonts w:ascii="黑体" w:eastAsia="黑体" w:hAnsi="宋体" w:cs="宋体" w:hint="eastAsia"/>
                <w:kern w:val="0"/>
                <w:szCs w:val="21"/>
              </w:rPr>
              <w:t>层数</w:t>
            </w:r>
          </w:p>
        </w:tc>
        <w:tc>
          <w:tcPr>
            <w:tcW w:w="910" w:type="dxa"/>
            <w:tcBorders>
              <w:top w:val="single" w:sz="8" w:space="0" w:color="auto"/>
            </w:tcBorders>
            <w:vAlign w:val="center"/>
          </w:tcPr>
          <w:p w:rsidR="00473DDF" w:rsidRDefault="00473DDF">
            <w:pPr>
              <w:widowControl/>
              <w:jc w:val="center"/>
              <w:rPr>
                <w:rFonts w:ascii="黑体" w:eastAsia="黑体" w:hAnsi="宋体" w:cs="宋体"/>
                <w:kern w:val="0"/>
                <w:szCs w:val="21"/>
              </w:rPr>
            </w:pPr>
            <w:r>
              <w:rPr>
                <w:rFonts w:ascii="黑体" w:eastAsia="黑体" w:hAnsi="宋体" w:cs="宋体" w:hint="eastAsia"/>
                <w:kern w:val="0"/>
                <w:szCs w:val="21"/>
              </w:rPr>
              <w:t>面积（㎡）</w:t>
            </w:r>
          </w:p>
        </w:tc>
        <w:tc>
          <w:tcPr>
            <w:tcW w:w="1005" w:type="dxa"/>
            <w:tcBorders>
              <w:top w:val="single" w:sz="8" w:space="0" w:color="auto"/>
            </w:tcBorders>
            <w:vAlign w:val="center"/>
          </w:tcPr>
          <w:p w:rsidR="00473DDF" w:rsidRDefault="00473DDF">
            <w:pPr>
              <w:widowControl/>
              <w:jc w:val="center"/>
              <w:rPr>
                <w:rFonts w:ascii="黑体" w:eastAsia="黑体" w:hAnsi="宋体" w:cs="宋体"/>
                <w:kern w:val="0"/>
                <w:szCs w:val="21"/>
              </w:rPr>
            </w:pPr>
            <w:r>
              <w:rPr>
                <w:rFonts w:ascii="黑体" w:eastAsia="黑体" w:hAnsi="宋体" w:cs="宋体" w:hint="eastAsia"/>
                <w:kern w:val="0"/>
                <w:szCs w:val="21"/>
              </w:rPr>
              <w:t>单价</w:t>
            </w:r>
          </w:p>
          <w:p w:rsidR="00473DDF" w:rsidRDefault="00473DDF">
            <w:pPr>
              <w:widowControl/>
              <w:jc w:val="center"/>
              <w:rPr>
                <w:rFonts w:ascii="黑体" w:eastAsia="黑体" w:hAnsi="宋体" w:cs="宋体"/>
                <w:kern w:val="0"/>
                <w:szCs w:val="21"/>
              </w:rPr>
            </w:pPr>
            <w:r>
              <w:rPr>
                <w:rFonts w:ascii="黑体" w:eastAsia="黑体" w:hAnsi="宋体" w:cs="宋体" w:hint="eastAsia"/>
                <w:kern w:val="0"/>
                <w:sz w:val="18"/>
                <w:szCs w:val="18"/>
              </w:rPr>
              <w:t>（元</w:t>
            </w:r>
            <w:r>
              <w:rPr>
                <w:rFonts w:ascii="黑体" w:eastAsia="黑体" w:hAnsi="宋体" w:cs="宋体"/>
                <w:kern w:val="0"/>
                <w:sz w:val="18"/>
                <w:szCs w:val="18"/>
              </w:rPr>
              <w:t>/</w:t>
            </w:r>
            <w:r>
              <w:rPr>
                <w:rFonts w:ascii="黑体" w:eastAsia="黑体" w:hAnsi="宋体" w:cs="宋体" w:hint="eastAsia"/>
                <w:kern w:val="0"/>
                <w:sz w:val="18"/>
                <w:szCs w:val="18"/>
              </w:rPr>
              <w:t>㎡）</w:t>
            </w:r>
          </w:p>
        </w:tc>
        <w:tc>
          <w:tcPr>
            <w:tcW w:w="885" w:type="dxa"/>
            <w:tcBorders>
              <w:top w:val="single" w:sz="8" w:space="0" w:color="auto"/>
            </w:tcBorders>
            <w:vAlign w:val="center"/>
          </w:tcPr>
          <w:p w:rsidR="00473DDF" w:rsidRDefault="00473DDF">
            <w:pPr>
              <w:widowControl/>
              <w:jc w:val="center"/>
              <w:rPr>
                <w:rFonts w:ascii="黑体" w:eastAsia="黑体" w:hAnsi="宋体" w:cs="宋体"/>
                <w:kern w:val="0"/>
                <w:szCs w:val="21"/>
              </w:rPr>
            </w:pPr>
            <w:r>
              <w:rPr>
                <w:rFonts w:ascii="黑体" w:eastAsia="黑体" w:hAnsi="宋体" w:cs="宋体" w:hint="eastAsia"/>
                <w:kern w:val="0"/>
                <w:szCs w:val="21"/>
              </w:rPr>
              <w:t>总价</w:t>
            </w:r>
          </w:p>
          <w:p w:rsidR="00473DDF" w:rsidRDefault="00473DDF">
            <w:pPr>
              <w:widowControl/>
              <w:jc w:val="center"/>
              <w:rPr>
                <w:rFonts w:ascii="黑体" w:eastAsia="黑体" w:hAnsi="宋体" w:cs="宋体"/>
                <w:kern w:val="0"/>
                <w:sz w:val="18"/>
                <w:szCs w:val="18"/>
              </w:rPr>
            </w:pPr>
            <w:r>
              <w:rPr>
                <w:rFonts w:ascii="黑体" w:eastAsia="黑体" w:hAnsi="宋体" w:cs="宋体" w:hint="eastAsia"/>
                <w:kern w:val="0"/>
                <w:sz w:val="18"/>
                <w:szCs w:val="18"/>
              </w:rPr>
              <w:t>（万元）</w:t>
            </w:r>
          </w:p>
        </w:tc>
      </w:tr>
      <w:tr w:rsidR="00473DDF">
        <w:trPr>
          <w:trHeight w:val="521"/>
          <w:jc w:val="center"/>
        </w:trPr>
        <w:tc>
          <w:tcPr>
            <w:tcW w:w="1493" w:type="dxa"/>
            <w:tcBorders>
              <w:top w:val="single" w:sz="8" w:space="0" w:color="auto"/>
            </w:tcBorders>
            <w:vAlign w:val="center"/>
          </w:tcPr>
          <w:p w:rsidR="00473DDF" w:rsidRDefault="00473DDF">
            <w:pPr>
              <w:widowControl/>
              <w:jc w:val="center"/>
              <w:textAlignment w:val="center"/>
              <w:rPr>
                <w:rFonts w:ascii="黑体" w:eastAsia="黑体" w:hAnsi="宋体" w:cs="宋体"/>
                <w:kern w:val="0"/>
                <w:szCs w:val="21"/>
              </w:rPr>
            </w:pPr>
            <w:r>
              <w:rPr>
                <w:rFonts w:ascii="宋体" w:hAnsi="宋体" w:cs="宋体" w:hint="eastAsia"/>
                <w:color w:val="000000"/>
                <w:kern w:val="0"/>
                <w:szCs w:val="21"/>
              </w:rPr>
              <w:t>丹东市房权证振兴区字第</w:t>
            </w:r>
            <w:r>
              <w:rPr>
                <w:rFonts w:ascii="宋体" w:hAnsi="宋体" w:cs="宋体"/>
                <w:color w:val="000000"/>
                <w:kern w:val="0"/>
                <w:szCs w:val="21"/>
              </w:rPr>
              <w:t>20090421096-1</w:t>
            </w:r>
            <w:r>
              <w:rPr>
                <w:rFonts w:ascii="宋体" w:hAnsi="宋体" w:cs="宋体" w:hint="eastAsia"/>
                <w:color w:val="000000"/>
                <w:kern w:val="0"/>
                <w:szCs w:val="21"/>
              </w:rPr>
              <w:t>号</w:t>
            </w:r>
          </w:p>
        </w:tc>
        <w:tc>
          <w:tcPr>
            <w:tcW w:w="923" w:type="dxa"/>
            <w:tcBorders>
              <w:top w:val="single" w:sz="8" w:space="0" w:color="auto"/>
            </w:tcBorders>
            <w:vAlign w:val="center"/>
          </w:tcPr>
          <w:p w:rsidR="00473DDF" w:rsidRDefault="00473DDF">
            <w:pPr>
              <w:widowControl/>
              <w:jc w:val="center"/>
              <w:textAlignment w:val="center"/>
              <w:rPr>
                <w:rFonts w:ascii="宋体" w:cs="宋体"/>
                <w:color w:val="000000"/>
                <w:kern w:val="0"/>
                <w:szCs w:val="21"/>
              </w:rPr>
            </w:pPr>
            <w:r>
              <w:rPr>
                <w:rFonts w:ascii="宋体" w:hAnsi="宋体" w:cs="宋体" w:hint="eastAsia"/>
                <w:color w:val="000000"/>
                <w:kern w:val="0"/>
                <w:szCs w:val="21"/>
              </w:rPr>
              <w:t>卓国彪、尹敬善</w:t>
            </w:r>
          </w:p>
        </w:tc>
        <w:tc>
          <w:tcPr>
            <w:tcW w:w="2394" w:type="dxa"/>
            <w:tcBorders>
              <w:top w:val="single" w:sz="8" w:space="0" w:color="auto"/>
            </w:tcBorders>
            <w:vAlign w:val="center"/>
          </w:tcPr>
          <w:p w:rsidR="00473DDF" w:rsidRDefault="00473DDF">
            <w:pPr>
              <w:widowControl/>
              <w:jc w:val="center"/>
              <w:textAlignment w:val="center"/>
              <w:rPr>
                <w:rFonts w:ascii="黑体" w:eastAsia="黑体" w:hAnsi="宋体" w:cs="宋体"/>
                <w:kern w:val="0"/>
                <w:szCs w:val="21"/>
              </w:rPr>
            </w:pPr>
            <w:r>
              <w:rPr>
                <w:rFonts w:ascii="宋体" w:hAnsi="宋体" w:cs="宋体" w:hint="eastAsia"/>
                <w:color w:val="000000"/>
                <w:kern w:val="0"/>
                <w:szCs w:val="21"/>
              </w:rPr>
              <w:t>丹东市振兴区滨江中路</w:t>
            </w:r>
            <w:r>
              <w:rPr>
                <w:rFonts w:ascii="宋体" w:hAnsi="宋体" w:cs="宋体"/>
                <w:color w:val="000000"/>
                <w:kern w:val="0"/>
                <w:szCs w:val="21"/>
              </w:rPr>
              <w:t>132</w:t>
            </w:r>
            <w:r>
              <w:rPr>
                <w:rFonts w:ascii="宋体" w:hAnsi="宋体" w:cs="宋体" w:hint="eastAsia"/>
                <w:color w:val="000000"/>
                <w:kern w:val="0"/>
                <w:szCs w:val="21"/>
              </w:rPr>
              <w:t>号</w:t>
            </w:r>
            <w:r>
              <w:rPr>
                <w:rFonts w:ascii="宋体" w:hAnsi="宋体" w:cs="宋体"/>
                <w:color w:val="000000"/>
                <w:kern w:val="0"/>
                <w:szCs w:val="21"/>
              </w:rPr>
              <w:t>2704</w:t>
            </w:r>
            <w:r>
              <w:rPr>
                <w:rFonts w:ascii="宋体" w:hAnsi="宋体" w:cs="宋体" w:hint="eastAsia"/>
                <w:color w:val="000000"/>
                <w:kern w:val="0"/>
                <w:szCs w:val="21"/>
              </w:rPr>
              <w:t>室“太阳世纪广场”小区</w:t>
            </w:r>
          </w:p>
        </w:tc>
        <w:tc>
          <w:tcPr>
            <w:tcW w:w="645" w:type="dxa"/>
            <w:tcBorders>
              <w:top w:val="single" w:sz="8" w:space="0" w:color="auto"/>
            </w:tcBorders>
            <w:vAlign w:val="center"/>
          </w:tcPr>
          <w:p w:rsidR="00473DDF" w:rsidRDefault="00473DDF">
            <w:pPr>
              <w:widowControl/>
              <w:jc w:val="center"/>
              <w:textAlignment w:val="center"/>
              <w:rPr>
                <w:rFonts w:ascii="黑体" w:eastAsia="黑体" w:hAnsi="宋体" w:cs="宋体"/>
                <w:kern w:val="0"/>
                <w:szCs w:val="21"/>
              </w:rPr>
            </w:pPr>
            <w:r>
              <w:rPr>
                <w:rFonts w:ascii="宋体" w:hAnsi="宋体" w:cs="宋体" w:hint="eastAsia"/>
                <w:color w:val="000000"/>
                <w:kern w:val="0"/>
                <w:szCs w:val="21"/>
              </w:rPr>
              <w:t>成套住宅</w:t>
            </w:r>
          </w:p>
        </w:tc>
        <w:tc>
          <w:tcPr>
            <w:tcW w:w="895" w:type="dxa"/>
            <w:tcBorders>
              <w:top w:val="single" w:sz="8" w:space="0" w:color="auto"/>
            </w:tcBorders>
            <w:vAlign w:val="center"/>
          </w:tcPr>
          <w:p w:rsidR="00473DDF" w:rsidRDefault="00473DDF">
            <w:pPr>
              <w:widowControl/>
              <w:jc w:val="center"/>
              <w:textAlignment w:val="center"/>
              <w:rPr>
                <w:rFonts w:ascii="黑体" w:eastAsia="黑体" w:hAnsi="宋体" w:cs="宋体"/>
                <w:kern w:val="0"/>
                <w:szCs w:val="21"/>
              </w:rPr>
            </w:pPr>
            <w:r>
              <w:rPr>
                <w:rFonts w:ascii="宋体" w:hAnsi="宋体" w:cs="宋体"/>
                <w:color w:val="000000"/>
                <w:kern w:val="0"/>
                <w:szCs w:val="21"/>
              </w:rPr>
              <w:t>27/32</w:t>
            </w:r>
            <w:r>
              <w:rPr>
                <w:rFonts w:ascii="宋体" w:hAnsi="宋体" w:cs="宋体" w:hint="eastAsia"/>
                <w:color w:val="000000"/>
                <w:kern w:val="0"/>
                <w:szCs w:val="21"/>
              </w:rPr>
              <w:t>层</w:t>
            </w:r>
          </w:p>
        </w:tc>
        <w:tc>
          <w:tcPr>
            <w:tcW w:w="910" w:type="dxa"/>
            <w:tcBorders>
              <w:top w:val="single" w:sz="8" w:space="0" w:color="auto"/>
            </w:tcBorders>
            <w:vAlign w:val="center"/>
          </w:tcPr>
          <w:p w:rsidR="00473DDF" w:rsidRDefault="00473DDF">
            <w:pPr>
              <w:widowControl/>
              <w:jc w:val="center"/>
              <w:textAlignment w:val="center"/>
              <w:rPr>
                <w:rFonts w:ascii="黑体" w:eastAsia="黑体" w:hAnsi="宋体" w:cs="宋体"/>
                <w:kern w:val="0"/>
                <w:szCs w:val="21"/>
              </w:rPr>
            </w:pPr>
            <w:r>
              <w:rPr>
                <w:rFonts w:ascii="宋体" w:hAnsi="宋体" w:cs="宋体"/>
                <w:color w:val="000000"/>
                <w:kern w:val="0"/>
                <w:szCs w:val="21"/>
              </w:rPr>
              <w:t>228.24</w:t>
            </w:r>
          </w:p>
        </w:tc>
        <w:tc>
          <w:tcPr>
            <w:tcW w:w="1005" w:type="dxa"/>
            <w:tcBorders>
              <w:top w:val="single" w:sz="8" w:space="0" w:color="auto"/>
            </w:tcBorders>
            <w:vAlign w:val="center"/>
          </w:tcPr>
          <w:p w:rsidR="00473DDF" w:rsidRDefault="00473DDF">
            <w:pPr>
              <w:widowControl/>
              <w:jc w:val="center"/>
              <w:textAlignment w:val="center"/>
              <w:rPr>
                <w:rFonts w:ascii="黑体" w:eastAsia="黑体" w:hAnsi="宋体" w:cs="宋体"/>
                <w:kern w:val="0"/>
                <w:sz w:val="18"/>
                <w:szCs w:val="18"/>
              </w:rPr>
            </w:pPr>
            <w:r>
              <w:rPr>
                <w:rFonts w:ascii="宋体" w:hAnsi="宋体" w:cs="宋体"/>
                <w:color w:val="000000"/>
                <w:kern w:val="0"/>
                <w:szCs w:val="21"/>
              </w:rPr>
              <w:t>10,235</w:t>
            </w:r>
          </w:p>
        </w:tc>
        <w:tc>
          <w:tcPr>
            <w:tcW w:w="885" w:type="dxa"/>
            <w:tcBorders>
              <w:top w:val="single" w:sz="8" w:space="0" w:color="auto"/>
            </w:tcBorders>
            <w:vAlign w:val="center"/>
          </w:tcPr>
          <w:p w:rsidR="00473DDF" w:rsidRDefault="00473DDF">
            <w:pPr>
              <w:widowControl/>
              <w:jc w:val="center"/>
              <w:textAlignment w:val="center"/>
              <w:rPr>
                <w:rFonts w:ascii="宋体" w:cs="宋体"/>
                <w:color w:val="000000"/>
                <w:kern w:val="0"/>
                <w:szCs w:val="21"/>
              </w:rPr>
            </w:pPr>
            <w:r>
              <w:rPr>
                <w:rFonts w:ascii="宋体" w:hAnsi="宋体" w:cs="宋体"/>
                <w:color w:val="000000"/>
                <w:kern w:val="0"/>
                <w:szCs w:val="21"/>
              </w:rPr>
              <w:t>233.60</w:t>
            </w:r>
          </w:p>
        </w:tc>
      </w:tr>
      <w:tr w:rsidR="00473DDF">
        <w:trPr>
          <w:trHeight w:val="534"/>
          <w:jc w:val="center"/>
        </w:trPr>
        <w:tc>
          <w:tcPr>
            <w:tcW w:w="2416" w:type="dxa"/>
            <w:gridSpan w:val="2"/>
            <w:vAlign w:val="center"/>
          </w:tcPr>
          <w:p w:rsidR="00473DDF" w:rsidRDefault="00473DDF">
            <w:pPr>
              <w:widowControl/>
              <w:jc w:val="center"/>
              <w:rPr>
                <w:rFonts w:ascii="宋体" w:cs="宋体"/>
                <w:b/>
                <w:kern w:val="0"/>
                <w:szCs w:val="21"/>
              </w:rPr>
            </w:pPr>
            <w:r>
              <w:rPr>
                <w:rFonts w:ascii="宋体" w:hAnsi="宋体" w:cs="宋体" w:hint="eastAsia"/>
                <w:b/>
                <w:kern w:val="0"/>
                <w:szCs w:val="21"/>
              </w:rPr>
              <w:t>合</w:t>
            </w:r>
            <w:r>
              <w:rPr>
                <w:rFonts w:ascii="宋体" w:hAnsi="宋体" w:cs="宋体"/>
                <w:b/>
                <w:kern w:val="0"/>
                <w:szCs w:val="21"/>
              </w:rPr>
              <w:t xml:space="preserve"> </w:t>
            </w:r>
            <w:r>
              <w:rPr>
                <w:rFonts w:ascii="宋体" w:hAnsi="宋体" w:cs="宋体" w:hint="eastAsia"/>
                <w:b/>
                <w:kern w:val="0"/>
                <w:szCs w:val="21"/>
              </w:rPr>
              <w:t>计</w:t>
            </w:r>
          </w:p>
        </w:tc>
        <w:tc>
          <w:tcPr>
            <w:tcW w:w="2394" w:type="dxa"/>
            <w:vAlign w:val="center"/>
          </w:tcPr>
          <w:p w:rsidR="00473DDF" w:rsidRDefault="00473DDF">
            <w:pPr>
              <w:jc w:val="center"/>
              <w:rPr>
                <w:rFonts w:ascii="宋体" w:cs="宋体"/>
                <w:b/>
                <w:kern w:val="0"/>
                <w:szCs w:val="21"/>
              </w:rPr>
            </w:pPr>
            <w:r>
              <w:rPr>
                <w:rFonts w:ascii="宋体" w:hAnsi="宋体" w:cs="宋体"/>
                <w:b/>
                <w:kern w:val="0"/>
                <w:szCs w:val="21"/>
              </w:rPr>
              <w:t>——</w:t>
            </w:r>
          </w:p>
        </w:tc>
        <w:tc>
          <w:tcPr>
            <w:tcW w:w="645" w:type="dxa"/>
            <w:vAlign w:val="center"/>
          </w:tcPr>
          <w:p w:rsidR="00473DDF" w:rsidRDefault="00473DDF">
            <w:pPr>
              <w:jc w:val="center"/>
              <w:rPr>
                <w:rFonts w:ascii="宋体" w:cs="宋体"/>
                <w:b/>
                <w:kern w:val="0"/>
                <w:szCs w:val="21"/>
              </w:rPr>
            </w:pPr>
            <w:r>
              <w:rPr>
                <w:rFonts w:ascii="宋体" w:hAnsi="宋体" w:cs="宋体"/>
                <w:b/>
                <w:kern w:val="0"/>
                <w:szCs w:val="21"/>
              </w:rPr>
              <w:t>——</w:t>
            </w:r>
          </w:p>
        </w:tc>
        <w:tc>
          <w:tcPr>
            <w:tcW w:w="895" w:type="dxa"/>
            <w:vAlign w:val="center"/>
          </w:tcPr>
          <w:p w:rsidR="00473DDF" w:rsidRDefault="00473DDF">
            <w:pPr>
              <w:jc w:val="center"/>
              <w:rPr>
                <w:b/>
                <w:kern w:val="0"/>
                <w:szCs w:val="21"/>
              </w:rPr>
            </w:pPr>
            <w:r>
              <w:rPr>
                <w:b/>
                <w:kern w:val="0"/>
                <w:szCs w:val="21"/>
              </w:rPr>
              <w:t>——</w:t>
            </w:r>
          </w:p>
        </w:tc>
        <w:tc>
          <w:tcPr>
            <w:tcW w:w="910" w:type="dxa"/>
            <w:vAlign w:val="center"/>
          </w:tcPr>
          <w:p w:rsidR="00473DDF" w:rsidRDefault="00473DDF">
            <w:pPr>
              <w:widowControl/>
              <w:jc w:val="center"/>
              <w:textAlignment w:val="center"/>
              <w:rPr>
                <w:b/>
                <w:kern w:val="0"/>
                <w:szCs w:val="21"/>
              </w:rPr>
            </w:pPr>
            <w:r>
              <w:rPr>
                <w:rFonts w:ascii="宋体" w:hAnsi="宋体" w:cs="宋体"/>
                <w:b/>
                <w:color w:val="000000"/>
                <w:kern w:val="0"/>
                <w:szCs w:val="21"/>
              </w:rPr>
              <w:t>228.24</w:t>
            </w:r>
          </w:p>
        </w:tc>
        <w:tc>
          <w:tcPr>
            <w:tcW w:w="1005" w:type="dxa"/>
            <w:vAlign w:val="center"/>
          </w:tcPr>
          <w:p w:rsidR="00473DDF" w:rsidRDefault="00473DDF">
            <w:pPr>
              <w:widowControl/>
              <w:jc w:val="center"/>
              <w:textAlignment w:val="center"/>
              <w:rPr>
                <w:b/>
                <w:szCs w:val="21"/>
              </w:rPr>
            </w:pPr>
            <w:r>
              <w:rPr>
                <w:rFonts w:ascii="宋体" w:hAnsi="宋体" w:cs="宋体"/>
                <w:b/>
                <w:color w:val="000000"/>
                <w:kern w:val="0"/>
                <w:szCs w:val="21"/>
              </w:rPr>
              <w:t>——</w:t>
            </w:r>
          </w:p>
        </w:tc>
        <w:tc>
          <w:tcPr>
            <w:tcW w:w="885" w:type="dxa"/>
            <w:vAlign w:val="center"/>
          </w:tcPr>
          <w:p w:rsidR="00473DDF" w:rsidRDefault="00473DDF">
            <w:pPr>
              <w:widowControl/>
              <w:jc w:val="center"/>
              <w:textAlignment w:val="center"/>
              <w:rPr>
                <w:b/>
                <w:szCs w:val="21"/>
              </w:rPr>
            </w:pPr>
          </w:p>
        </w:tc>
      </w:tr>
      <w:tr w:rsidR="00473DDF">
        <w:trPr>
          <w:trHeight w:val="534"/>
          <w:jc w:val="center"/>
        </w:trPr>
        <w:tc>
          <w:tcPr>
            <w:tcW w:w="2416" w:type="dxa"/>
            <w:gridSpan w:val="2"/>
            <w:tcBorders>
              <w:bottom w:val="single" w:sz="8" w:space="0" w:color="auto"/>
            </w:tcBorders>
            <w:vAlign w:val="center"/>
          </w:tcPr>
          <w:p w:rsidR="00473DDF" w:rsidRDefault="00473DDF">
            <w:pPr>
              <w:widowControl/>
              <w:jc w:val="center"/>
              <w:rPr>
                <w:rFonts w:ascii="宋体" w:cs="宋体"/>
                <w:b/>
                <w:kern w:val="0"/>
                <w:szCs w:val="21"/>
              </w:rPr>
            </w:pPr>
            <w:r>
              <w:rPr>
                <w:rFonts w:ascii="宋体" w:hAnsi="宋体" w:cs="宋体" w:hint="eastAsia"/>
                <w:b/>
                <w:kern w:val="0"/>
                <w:szCs w:val="21"/>
              </w:rPr>
              <w:t>人民币大写金额</w:t>
            </w:r>
          </w:p>
        </w:tc>
        <w:tc>
          <w:tcPr>
            <w:tcW w:w="6734" w:type="dxa"/>
            <w:gridSpan w:val="6"/>
            <w:tcBorders>
              <w:bottom w:val="single" w:sz="8" w:space="0" w:color="auto"/>
            </w:tcBorders>
            <w:vAlign w:val="center"/>
          </w:tcPr>
          <w:p w:rsidR="00473DDF" w:rsidRDefault="00473DDF">
            <w:pPr>
              <w:jc w:val="center"/>
              <w:rPr>
                <w:b/>
                <w:szCs w:val="21"/>
              </w:rPr>
            </w:pPr>
            <w:r>
              <w:rPr>
                <w:b/>
                <w:szCs w:val="21"/>
              </w:rPr>
              <w:fldChar w:fldCharType="begin"/>
            </w:r>
            <w:r>
              <w:rPr>
                <w:b/>
                <w:szCs w:val="21"/>
              </w:rPr>
              <w:instrText xml:space="preserve"> = 210000 \* CHINESENUM2 </w:instrText>
            </w:r>
            <w:r>
              <w:rPr>
                <w:b/>
                <w:szCs w:val="21"/>
              </w:rPr>
              <w:fldChar w:fldCharType="separate"/>
            </w:r>
            <w:r>
              <w:rPr>
                <w:rFonts w:hint="eastAsia"/>
                <w:b/>
                <w:szCs w:val="21"/>
              </w:rPr>
              <w:t>贰佰叁拾叁万陆仟</w:t>
            </w:r>
            <w:r>
              <w:rPr>
                <w:b/>
                <w:szCs w:val="21"/>
              </w:rPr>
              <w:fldChar w:fldCharType="end"/>
            </w:r>
            <w:r>
              <w:rPr>
                <w:rFonts w:hint="eastAsia"/>
                <w:b/>
                <w:szCs w:val="21"/>
              </w:rPr>
              <w:t>元整</w:t>
            </w:r>
          </w:p>
        </w:tc>
      </w:tr>
    </w:tbl>
    <w:p w:rsidR="00473DDF" w:rsidRDefault="00473DDF" w:rsidP="00822204">
      <w:pPr>
        <w:pStyle w:val="PlainText"/>
        <w:spacing w:beforeLines="25" w:afterLines="25" w:line="360" w:lineRule="auto"/>
        <w:ind w:firstLineChars="200" w:firstLine="480"/>
        <w:rPr>
          <w:rFonts w:hAnsi="宋体"/>
          <w:bCs/>
          <w:sz w:val="24"/>
        </w:rPr>
      </w:pPr>
      <w:r>
        <w:rPr>
          <w:rFonts w:hAnsi="宋体" w:hint="eastAsia"/>
          <w:bCs/>
          <w:sz w:val="24"/>
        </w:rPr>
        <w:t>特别提示：报告使用人在使用本报告之前须对报告全文，特别是“估价的假设和限制条件”认真阅读，以免使用不当，造成损失。估价的详细结果、过程请见附后的《估价结果报</w:t>
      </w:r>
      <w:r w:rsidRPr="004F4F82">
        <w:rPr>
          <w:rFonts w:hAnsi="宋体" w:hint="eastAsia"/>
          <w:bCs/>
          <w:sz w:val="24"/>
        </w:rPr>
        <w:t>告》。</w:t>
      </w:r>
    </w:p>
    <w:p w:rsidR="00473DDF" w:rsidRDefault="00473DDF" w:rsidP="00822204">
      <w:pPr>
        <w:pStyle w:val="PlainText"/>
        <w:spacing w:beforeLines="25" w:afterLines="25" w:line="360" w:lineRule="auto"/>
        <w:ind w:firstLineChars="200" w:firstLine="480"/>
        <w:rPr>
          <w:rFonts w:hAnsi="宋体"/>
          <w:bCs/>
          <w:sz w:val="24"/>
        </w:rPr>
      </w:pPr>
    </w:p>
    <w:p w:rsidR="00473DDF" w:rsidRDefault="00473DDF" w:rsidP="00822204">
      <w:pPr>
        <w:pStyle w:val="PlainText"/>
        <w:spacing w:beforeLines="25" w:afterLines="25" w:line="360" w:lineRule="auto"/>
        <w:ind w:firstLineChars="850" w:firstLine="2040"/>
        <w:rPr>
          <w:rFonts w:ascii="黑体" w:eastAsia="黑体" w:hAnsi="黑体"/>
          <w:sz w:val="24"/>
        </w:rPr>
      </w:pPr>
      <w:r>
        <w:rPr>
          <w:rFonts w:ascii="黑体" w:eastAsia="黑体" w:hAnsi="黑体" w:hint="eastAsia"/>
          <w:sz w:val="24"/>
        </w:rPr>
        <w:t>估价机构（盖章）：辽宁房信房地产土地资产评估有限公司</w:t>
      </w:r>
    </w:p>
    <w:p w:rsidR="00473DDF" w:rsidRDefault="00473DDF" w:rsidP="00822204">
      <w:pPr>
        <w:pStyle w:val="PlainText"/>
        <w:spacing w:beforeLines="25" w:afterLines="25" w:line="360" w:lineRule="auto"/>
        <w:ind w:firstLineChars="850" w:firstLine="2040"/>
        <w:rPr>
          <w:rFonts w:ascii="黑体" w:eastAsia="黑体" w:hAnsi="黑体"/>
          <w:sz w:val="24"/>
        </w:rPr>
      </w:pPr>
    </w:p>
    <w:p w:rsidR="00473DDF" w:rsidRDefault="00473DDF" w:rsidP="00822204">
      <w:pPr>
        <w:pStyle w:val="PlainText"/>
        <w:spacing w:beforeLines="25" w:afterLines="25" w:line="360" w:lineRule="auto"/>
        <w:jc w:val="center"/>
        <w:rPr>
          <w:rFonts w:ascii="黑体" w:eastAsia="黑体" w:hAnsi="黑体"/>
          <w:sz w:val="24"/>
        </w:rPr>
      </w:pPr>
      <w:r>
        <w:rPr>
          <w:rFonts w:ascii="黑体" w:eastAsia="黑体" w:hAnsi="黑体" w:hint="eastAsia"/>
          <w:sz w:val="24"/>
        </w:rPr>
        <w:t>估价机构法定代表人（盖章或签字）：</w:t>
      </w:r>
    </w:p>
    <w:p w:rsidR="00473DDF" w:rsidRDefault="00473DDF" w:rsidP="00822204">
      <w:pPr>
        <w:pStyle w:val="PlainText"/>
        <w:spacing w:beforeLines="25" w:afterLines="25" w:line="360" w:lineRule="auto"/>
        <w:ind w:right="660" w:firstLineChars="1274" w:firstLine="3058"/>
        <w:jc w:val="right"/>
        <w:rPr>
          <w:rFonts w:ascii="黑体" w:eastAsia="黑体" w:hAnsi="Times New Roman"/>
          <w:sz w:val="24"/>
        </w:rPr>
      </w:pPr>
    </w:p>
    <w:p w:rsidR="00473DDF" w:rsidRDefault="00473DDF" w:rsidP="00822204">
      <w:pPr>
        <w:pStyle w:val="PlainText"/>
        <w:spacing w:beforeLines="25" w:afterLines="25" w:line="360" w:lineRule="auto"/>
        <w:ind w:right="660" w:firstLineChars="1274" w:firstLine="3058"/>
        <w:jc w:val="right"/>
        <w:rPr>
          <w:rFonts w:ascii="黑体" w:eastAsia="黑体" w:hAnsi="Times New Roman"/>
          <w:sz w:val="24"/>
        </w:rPr>
        <w:sectPr w:rsidR="00473DDF">
          <w:headerReference w:type="default" r:id="rId13"/>
          <w:pgSz w:w="11907" w:h="16840"/>
          <w:pgMar w:top="1440" w:right="1797" w:bottom="1440" w:left="1797" w:header="851" w:footer="851" w:gutter="0"/>
          <w:pgNumType w:start="1"/>
          <w:cols w:space="720"/>
          <w:docGrid w:linePitch="312"/>
        </w:sectPr>
      </w:pPr>
      <w:r>
        <w:rPr>
          <w:rFonts w:ascii="黑体" w:eastAsia="黑体" w:hAnsi="Times New Roman" w:hint="eastAsia"/>
          <w:sz w:val="24"/>
        </w:rPr>
        <w:t>二零二零年二月十三日</w:t>
      </w:r>
    </w:p>
    <w:p w:rsidR="00473DDF" w:rsidRDefault="00473DDF" w:rsidP="00822204">
      <w:pPr>
        <w:pStyle w:val="PlainText"/>
        <w:spacing w:beforeLines="25" w:afterLines="25" w:line="360" w:lineRule="auto"/>
        <w:ind w:right="420" w:firstLineChars="1274" w:firstLine="3058"/>
        <w:jc w:val="right"/>
        <w:rPr>
          <w:rFonts w:ascii="Times New Roman" w:eastAsia="黑体" w:hAnsi="Times New Roman"/>
          <w:sz w:val="24"/>
        </w:rPr>
      </w:pPr>
    </w:p>
    <w:p w:rsidR="00473DDF" w:rsidRPr="004F4F82" w:rsidRDefault="00473DDF" w:rsidP="004F4F82">
      <w:pPr>
        <w:pStyle w:val="PlainText"/>
        <w:tabs>
          <w:tab w:val="left" w:pos="2520"/>
        </w:tabs>
        <w:spacing w:line="360" w:lineRule="auto"/>
        <w:jc w:val="center"/>
        <w:rPr>
          <w:rFonts w:ascii="Times New Roman" w:eastAsia="黑体" w:hAnsi="Times New Roman"/>
          <w:color w:val="000000"/>
          <w:sz w:val="36"/>
          <w:szCs w:val="36"/>
        </w:rPr>
      </w:pPr>
      <w:r w:rsidRPr="004F4F82">
        <w:rPr>
          <w:rFonts w:ascii="Times New Roman" w:eastAsia="黑体" w:hAnsi="Times New Roman" w:hint="eastAsia"/>
          <w:color w:val="000000"/>
          <w:sz w:val="36"/>
          <w:szCs w:val="36"/>
        </w:rPr>
        <w:t>目</w:t>
      </w:r>
      <w:r w:rsidRPr="004F4F82">
        <w:rPr>
          <w:rFonts w:ascii="Times New Roman" w:eastAsia="黑体" w:hAnsi="Times New Roman"/>
          <w:color w:val="000000"/>
          <w:sz w:val="36"/>
          <w:szCs w:val="36"/>
        </w:rPr>
        <w:t xml:space="preserve">    </w:t>
      </w:r>
      <w:r w:rsidRPr="004F4F82">
        <w:rPr>
          <w:rFonts w:ascii="Times New Roman" w:eastAsia="黑体" w:hAnsi="Times New Roman" w:hint="eastAsia"/>
          <w:color w:val="000000"/>
          <w:sz w:val="36"/>
          <w:szCs w:val="36"/>
        </w:rPr>
        <w:t>录</w:t>
      </w:r>
    </w:p>
    <w:p w:rsidR="00473DDF" w:rsidRDefault="00473DDF" w:rsidP="004F4F82">
      <w:pPr>
        <w:pStyle w:val="TOC1"/>
        <w:spacing w:line="360" w:lineRule="auto"/>
        <w:rPr>
          <w:rFonts w:ascii="Calibri" w:eastAsia="宋体" w:hAnsi="Calibri"/>
          <w:bCs w:val="0"/>
          <w:caps w:val="0"/>
          <w:noProof/>
          <w:sz w:val="21"/>
          <w:szCs w:val="22"/>
        </w:rPr>
      </w:pPr>
      <w:r w:rsidRPr="004F4F82">
        <w:rPr>
          <w:rFonts w:hAnsi="Times New Roman"/>
          <w:color w:val="000000"/>
          <w:spacing w:val="20"/>
        </w:rPr>
        <w:fldChar w:fldCharType="begin"/>
      </w:r>
      <w:r w:rsidRPr="004F4F82">
        <w:rPr>
          <w:rFonts w:hAnsi="Times New Roman"/>
          <w:color w:val="000000"/>
          <w:spacing w:val="20"/>
        </w:rPr>
        <w:instrText xml:space="preserve"> TOC \o "1-2" \h \z \u </w:instrText>
      </w:r>
      <w:r w:rsidRPr="004F4F82">
        <w:rPr>
          <w:rFonts w:hAnsi="Times New Roman"/>
          <w:color w:val="000000"/>
          <w:spacing w:val="20"/>
        </w:rPr>
        <w:fldChar w:fldCharType="separate"/>
      </w:r>
      <w:hyperlink w:anchor="_Toc32499178" w:history="1">
        <w:r w:rsidRPr="006B335B">
          <w:rPr>
            <w:rStyle w:val="Hyperlink"/>
            <w:rFonts w:hint="eastAsia"/>
            <w:noProof/>
            <w:sz w:val="24"/>
            <w:szCs w:val="20"/>
          </w:rPr>
          <w:t>估价师声明</w:t>
        </w:r>
        <w:r>
          <w:rPr>
            <w:noProof/>
            <w:webHidden/>
          </w:rPr>
          <w:tab/>
        </w:r>
        <w:r>
          <w:rPr>
            <w:noProof/>
            <w:webHidden/>
          </w:rPr>
          <w:fldChar w:fldCharType="begin"/>
        </w:r>
        <w:r>
          <w:rPr>
            <w:noProof/>
            <w:webHidden/>
          </w:rPr>
          <w:instrText xml:space="preserve"> PAGEREF _Toc32499178 \h </w:instrText>
        </w:r>
        <w:r>
          <w:rPr>
            <w:noProof/>
            <w:webHidden/>
          </w:rPr>
        </w:r>
        <w:r>
          <w:rPr>
            <w:noProof/>
            <w:webHidden/>
          </w:rPr>
          <w:fldChar w:fldCharType="separate"/>
        </w:r>
        <w:r>
          <w:rPr>
            <w:noProof/>
            <w:webHidden/>
          </w:rPr>
          <w:t>1</w:t>
        </w:r>
        <w:r>
          <w:rPr>
            <w:noProof/>
            <w:webHidden/>
          </w:rPr>
          <w:fldChar w:fldCharType="end"/>
        </w:r>
      </w:hyperlink>
    </w:p>
    <w:p w:rsidR="00473DDF" w:rsidRDefault="00473DDF" w:rsidP="004F4F82">
      <w:pPr>
        <w:pStyle w:val="TOC1"/>
        <w:spacing w:line="360" w:lineRule="auto"/>
        <w:rPr>
          <w:rFonts w:ascii="Calibri" w:eastAsia="宋体" w:hAnsi="Calibri"/>
          <w:bCs w:val="0"/>
          <w:caps w:val="0"/>
          <w:noProof/>
          <w:sz w:val="21"/>
          <w:szCs w:val="22"/>
        </w:rPr>
      </w:pPr>
      <w:hyperlink w:anchor="_Toc32499179" w:history="1">
        <w:r w:rsidRPr="006B335B">
          <w:rPr>
            <w:rStyle w:val="Hyperlink"/>
            <w:rFonts w:hint="eastAsia"/>
            <w:noProof/>
            <w:sz w:val="24"/>
            <w:szCs w:val="20"/>
          </w:rPr>
          <w:t>估价假设和限制条件</w:t>
        </w:r>
        <w:r>
          <w:rPr>
            <w:noProof/>
            <w:webHidden/>
          </w:rPr>
          <w:tab/>
        </w:r>
        <w:r>
          <w:rPr>
            <w:noProof/>
            <w:webHidden/>
          </w:rPr>
          <w:fldChar w:fldCharType="begin"/>
        </w:r>
        <w:r>
          <w:rPr>
            <w:noProof/>
            <w:webHidden/>
          </w:rPr>
          <w:instrText xml:space="preserve"> PAGEREF _Toc32499179 \h </w:instrText>
        </w:r>
        <w:r>
          <w:rPr>
            <w:noProof/>
            <w:webHidden/>
          </w:rPr>
        </w:r>
        <w:r>
          <w:rPr>
            <w:noProof/>
            <w:webHidden/>
          </w:rPr>
          <w:fldChar w:fldCharType="separate"/>
        </w:r>
        <w:r>
          <w:rPr>
            <w:noProof/>
            <w:webHidden/>
          </w:rPr>
          <w:t>2</w:t>
        </w:r>
        <w:r>
          <w:rPr>
            <w:noProof/>
            <w:webHidden/>
          </w:rPr>
          <w:fldChar w:fldCharType="end"/>
        </w:r>
      </w:hyperlink>
    </w:p>
    <w:p w:rsidR="00473DDF" w:rsidRDefault="00473DDF" w:rsidP="004F4F82">
      <w:pPr>
        <w:pStyle w:val="TOC1"/>
        <w:spacing w:line="360" w:lineRule="auto"/>
        <w:rPr>
          <w:rFonts w:ascii="Calibri" w:eastAsia="宋体" w:hAnsi="Calibri"/>
          <w:bCs w:val="0"/>
          <w:caps w:val="0"/>
          <w:noProof/>
          <w:sz w:val="21"/>
          <w:szCs w:val="22"/>
        </w:rPr>
      </w:pPr>
      <w:hyperlink w:anchor="_Toc32499180" w:history="1">
        <w:r w:rsidRPr="006B335B">
          <w:rPr>
            <w:rStyle w:val="Hyperlink"/>
            <w:rFonts w:hint="eastAsia"/>
            <w:noProof/>
            <w:sz w:val="24"/>
            <w:szCs w:val="20"/>
          </w:rPr>
          <w:t>估价结果报告</w:t>
        </w:r>
        <w:r>
          <w:rPr>
            <w:noProof/>
            <w:webHidden/>
          </w:rPr>
          <w:tab/>
        </w:r>
        <w:r>
          <w:rPr>
            <w:noProof/>
            <w:webHidden/>
          </w:rPr>
          <w:fldChar w:fldCharType="begin"/>
        </w:r>
        <w:r>
          <w:rPr>
            <w:noProof/>
            <w:webHidden/>
          </w:rPr>
          <w:instrText xml:space="preserve"> PAGEREF _Toc32499180 \h </w:instrText>
        </w:r>
        <w:r>
          <w:rPr>
            <w:noProof/>
            <w:webHidden/>
          </w:rPr>
        </w:r>
        <w:r>
          <w:rPr>
            <w:noProof/>
            <w:webHidden/>
          </w:rPr>
          <w:fldChar w:fldCharType="separate"/>
        </w:r>
        <w:r>
          <w:rPr>
            <w:noProof/>
            <w:webHidden/>
          </w:rPr>
          <w:t>5</w:t>
        </w:r>
        <w:r>
          <w:rPr>
            <w:noProof/>
            <w:webHidden/>
          </w:rPr>
          <w:fldChar w:fldCharType="end"/>
        </w:r>
      </w:hyperlink>
    </w:p>
    <w:p w:rsidR="00473DDF" w:rsidRDefault="00473DDF" w:rsidP="004F4F82">
      <w:pPr>
        <w:pStyle w:val="TOC2"/>
        <w:spacing w:line="360" w:lineRule="auto"/>
        <w:rPr>
          <w:rFonts w:ascii="Calibri" w:eastAsia="宋体" w:hAnsi="Calibri"/>
          <w:smallCaps w:val="0"/>
          <w:noProof/>
          <w:szCs w:val="22"/>
        </w:rPr>
      </w:pPr>
      <w:hyperlink w:anchor="_Toc32499181" w:history="1">
        <w:r w:rsidRPr="006B335B">
          <w:rPr>
            <w:rStyle w:val="Hyperlink"/>
            <w:rFonts w:ascii="Times New Roman" w:hAnsi="Times New Roman" w:hint="eastAsia"/>
            <w:noProof/>
            <w:sz w:val="24"/>
          </w:rPr>
          <w:t>一、估价委托人</w:t>
        </w:r>
        <w:r>
          <w:rPr>
            <w:noProof/>
            <w:webHidden/>
          </w:rPr>
          <w:tab/>
        </w:r>
        <w:r>
          <w:rPr>
            <w:noProof/>
            <w:webHidden/>
          </w:rPr>
          <w:fldChar w:fldCharType="begin"/>
        </w:r>
        <w:r>
          <w:rPr>
            <w:noProof/>
            <w:webHidden/>
          </w:rPr>
          <w:instrText xml:space="preserve"> PAGEREF _Toc32499181 \h </w:instrText>
        </w:r>
        <w:r>
          <w:rPr>
            <w:noProof/>
            <w:webHidden/>
          </w:rPr>
        </w:r>
        <w:r>
          <w:rPr>
            <w:noProof/>
            <w:webHidden/>
          </w:rPr>
          <w:fldChar w:fldCharType="separate"/>
        </w:r>
        <w:r>
          <w:rPr>
            <w:noProof/>
            <w:webHidden/>
          </w:rPr>
          <w:t>5</w:t>
        </w:r>
        <w:r>
          <w:rPr>
            <w:noProof/>
            <w:webHidden/>
          </w:rPr>
          <w:fldChar w:fldCharType="end"/>
        </w:r>
      </w:hyperlink>
    </w:p>
    <w:p w:rsidR="00473DDF" w:rsidRDefault="00473DDF" w:rsidP="004F4F82">
      <w:pPr>
        <w:pStyle w:val="TOC2"/>
        <w:spacing w:line="360" w:lineRule="auto"/>
        <w:rPr>
          <w:rFonts w:ascii="Calibri" w:eastAsia="宋体" w:hAnsi="Calibri"/>
          <w:smallCaps w:val="0"/>
          <w:noProof/>
          <w:szCs w:val="22"/>
        </w:rPr>
      </w:pPr>
      <w:hyperlink w:anchor="_Toc32499182" w:history="1">
        <w:r w:rsidRPr="006B335B">
          <w:rPr>
            <w:rStyle w:val="Hyperlink"/>
            <w:rFonts w:ascii="Times New Roman" w:hAnsi="Times New Roman" w:hint="eastAsia"/>
            <w:noProof/>
            <w:sz w:val="24"/>
          </w:rPr>
          <w:t>二、估价机构</w:t>
        </w:r>
        <w:r>
          <w:rPr>
            <w:noProof/>
            <w:webHidden/>
          </w:rPr>
          <w:tab/>
        </w:r>
        <w:r>
          <w:rPr>
            <w:noProof/>
            <w:webHidden/>
          </w:rPr>
          <w:fldChar w:fldCharType="begin"/>
        </w:r>
        <w:r>
          <w:rPr>
            <w:noProof/>
            <w:webHidden/>
          </w:rPr>
          <w:instrText xml:space="preserve"> PAGEREF _Toc32499182 \h </w:instrText>
        </w:r>
        <w:r>
          <w:rPr>
            <w:noProof/>
            <w:webHidden/>
          </w:rPr>
        </w:r>
        <w:r>
          <w:rPr>
            <w:noProof/>
            <w:webHidden/>
          </w:rPr>
          <w:fldChar w:fldCharType="separate"/>
        </w:r>
        <w:r>
          <w:rPr>
            <w:noProof/>
            <w:webHidden/>
          </w:rPr>
          <w:t>5</w:t>
        </w:r>
        <w:r>
          <w:rPr>
            <w:noProof/>
            <w:webHidden/>
          </w:rPr>
          <w:fldChar w:fldCharType="end"/>
        </w:r>
      </w:hyperlink>
    </w:p>
    <w:p w:rsidR="00473DDF" w:rsidRDefault="00473DDF" w:rsidP="004F4F82">
      <w:pPr>
        <w:pStyle w:val="TOC2"/>
        <w:spacing w:line="360" w:lineRule="auto"/>
        <w:rPr>
          <w:rFonts w:ascii="Calibri" w:eastAsia="宋体" w:hAnsi="Calibri"/>
          <w:smallCaps w:val="0"/>
          <w:noProof/>
          <w:szCs w:val="22"/>
        </w:rPr>
      </w:pPr>
      <w:hyperlink w:anchor="_Toc32499183" w:history="1">
        <w:r w:rsidRPr="006B335B">
          <w:rPr>
            <w:rStyle w:val="Hyperlink"/>
            <w:rFonts w:ascii="Times New Roman" w:hAnsi="Times New Roman" w:hint="eastAsia"/>
            <w:noProof/>
            <w:sz w:val="24"/>
          </w:rPr>
          <w:t>三、估价目的</w:t>
        </w:r>
        <w:r>
          <w:rPr>
            <w:noProof/>
            <w:webHidden/>
          </w:rPr>
          <w:tab/>
        </w:r>
        <w:r>
          <w:rPr>
            <w:noProof/>
            <w:webHidden/>
          </w:rPr>
          <w:fldChar w:fldCharType="begin"/>
        </w:r>
        <w:r>
          <w:rPr>
            <w:noProof/>
            <w:webHidden/>
          </w:rPr>
          <w:instrText xml:space="preserve"> PAGEREF _Toc32499183 \h </w:instrText>
        </w:r>
        <w:r>
          <w:rPr>
            <w:noProof/>
            <w:webHidden/>
          </w:rPr>
        </w:r>
        <w:r>
          <w:rPr>
            <w:noProof/>
            <w:webHidden/>
          </w:rPr>
          <w:fldChar w:fldCharType="separate"/>
        </w:r>
        <w:r>
          <w:rPr>
            <w:noProof/>
            <w:webHidden/>
          </w:rPr>
          <w:t>5</w:t>
        </w:r>
        <w:r>
          <w:rPr>
            <w:noProof/>
            <w:webHidden/>
          </w:rPr>
          <w:fldChar w:fldCharType="end"/>
        </w:r>
      </w:hyperlink>
    </w:p>
    <w:p w:rsidR="00473DDF" w:rsidRDefault="00473DDF" w:rsidP="004F4F82">
      <w:pPr>
        <w:pStyle w:val="TOC2"/>
        <w:spacing w:line="360" w:lineRule="auto"/>
        <w:rPr>
          <w:rFonts w:ascii="Calibri" w:eastAsia="宋体" w:hAnsi="Calibri"/>
          <w:smallCaps w:val="0"/>
          <w:noProof/>
          <w:szCs w:val="22"/>
        </w:rPr>
      </w:pPr>
      <w:hyperlink w:anchor="_Toc32499184" w:history="1">
        <w:r w:rsidRPr="006B335B">
          <w:rPr>
            <w:rStyle w:val="Hyperlink"/>
            <w:rFonts w:ascii="Times New Roman" w:hAnsi="Times New Roman" w:hint="eastAsia"/>
            <w:noProof/>
            <w:sz w:val="24"/>
          </w:rPr>
          <w:t>四、估价对象</w:t>
        </w:r>
        <w:r>
          <w:rPr>
            <w:noProof/>
            <w:webHidden/>
          </w:rPr>
          <w:tab/>
        </w:r>
        <w:r>
          <w:rPr>
            <w:noProof/>
            <w:webHidden/>
          </w:rPr>
          <w:fldChar w:fldCharType="begin"/>
        </w:r>
        <w:r>
          <w:rPr>
            <w:noProof/>
            <w:webHidden/>
          </w:rPr>
          <w:instrText xml:space="preserve"> PAGEREF _Toc32499184 \h </w:instrText>
        </w:r>
        <w:r>
          <w:rPr>
            <w:noProof/>
            <w:webHidden/>
          </w:rPr>
        </w:r>
        <w:r>
          <w:rPr>
            <w:noProof/>
            <w:webHidden/>
          </w:rPr>
          <w:fldChar w:fldCharType="separate"/>
        </w:r>
        <w:r>
          <w:rPr>
            <w:noProof/>
            <w:webHidden/>
          </w:rPr>
          <w:t>5</w:t>
        </w:r>
        <w:r>
          <w:rPr>
            <w:noProof/>
            <w:webHidden/>
          </w:rPr>
          <w:fldChar w:fldCharType="end"/>
        </w:r>
      </w:hyperlink>
    </w:p>
    <w:p w:rsidR="00473DDF" w:rsidRDefault="00473DDF" w:rsidP="004F4F82">
      <w:pPr>
        <w:pStyle w:val="TOC2"/>
        <w:spacing w:line="360" w:lineRule="auto"/>
        <w:rPr>
          <w:rFonts w:ascii="Calibri" w:eastAsia="宋体" w:hAnsi="Calibri"/>
          <w:smallCaps w:val="0"/>
          <w:noProof/>
          <w:szCs w:val="22"/>
        </w:rPr>
      </w:pPr>
      <w:hyperlink w:anchor="_Toc32499185" w:history="1">
        <w:r w:rsidRPr="006B335B">
          <w:rPr>
            <w:rStyle w:val="Hyperlink"/>
            <w:rFonts w:ascii="Times New Roman" w:hAnsi="Times New Roman" w:hint="eastAsia"/>
            <w:noProof/>
            <w:sz w:val="24"/>
          </w:rPr>
          <w:t>五、价值时点</w:t>
        </w:r>
        <w:r>
          <w:rPr>
            <w:noProof/>
            <w:webHidden/>
          </w:rPr>
          <w:tab/>
        </w:r>
        <w:r>
          <w:rPr>
            <w:noProof/>
            <w:webHidden/>
          </w:rPr>
          <w:fldChar w:fldCharType="begin"/>
        </w:r>
        <w:r>
          <w:rPr>
            <w:noProof/>
            <w:webHidden/>
          </w:rPr>
          <w:instrText xml:space="preserve"> PAGEREF _Toc32499185 \h </w:instrText>
        </w:r>
        <w:r>
          <w:rPr>
            <w:noProof/>
            <w:webHidden/>
          </w:rPr>
        </w:r>
        <w:r>
          <w:rPr>
            <w:noProof/>
            <w:webHidden/>
          </w:rPr>
          <w:fldChar w:fldCharType="separate"/>
        </w:r>
        <w:r>
          <w:rPr>
            <w:noProof/>
            <w:webHidden/>
          </w:rPr>
          <w:t>8</w:t>
        </w:r>
        <w:r>
          <w:rPr>
            <w:noProof/>
            <w:webHidden/>
          </w:rPr>
          <w:fldChar w:fldCharType="end"/>
        </w:r>
      </w:hyperlink>
    </w:p>
    <w:p w:rsidR="00473DDF" w:rsidRDefault="00473DDF" w:rsidP="004F4F82">
      <w:pPr>
        <w:pStyle w:val="TOC2"/>
        <w:spacing w:line="360" w:lineRule="auto"/>
        <w:rPr>
          <w:rFonts w:ascii="Calibri" w:eastAsia="宋体" w:hAnsi="Calibri"/>
          <w:smallCaps w:val="0"/>
          <w:noProof/>
          <w:szCs w:val="22"/>
        </w:rPr>
      </w:pPr>
      <w:hyperlink w:anchor="_Toc32499186" w:history="1">
        <w:r w:rsidRPr="006B335B">
          <w:rPr>
            <w:rStyle w:val="Hyperlink"/>
            <w:rFonts w:ascii="Times New Roman" w:hAnsi="Times New Roman" w:hint="eastAsia"/>
            <w:noProof/>
            <w:sz w:val="24"/>
          </w:rPr>
          <w:t>六、价值类型</w:t>
        </w:r>
        <w:r>
          <w:rPr>
            <w:noProof/>
            <w:webHidden/>
          </w:rPr>
          <w:tab/>
        </w:r>
        <w:r>
          <w:rPr>
            <w:noProof/>
            <w:webHidden/>
          </w:rPr>
          <w:fldChar w:fldCharType="begin"/>
        </w:r>
        <w:r>
          <w:rPr>
            <w:noProof/>
            <w:webHidden/>
          </w:rPr>
          <w:instrText xml:space="preserve"> PAGEREF _Toc32499186 \h </w:instrText>
        </w:r>
        <w:r>
          <w:rPr>
            <w:noProof/>
            <w:webHidden/>
          </w:rPr>
        </w:r>
        <w:r>
          <w:rPr>
            <w:noProof/>
            <w:webHidden/>
          </w:rPr>
          <w:fldChar w:fldCharType="separate"/>
        </w:r>
        <w:r>
          <w:rPr>
            <w:noProof/>
            <w:webHidden/>
          </w:rPr>
          <w:t>8</w:t>
        </w:r>
        <w:r>
          <w:rPr>
            <w:noProof/>
            <w:webHidden/>
          </w:rPr>
          <w:fldChar w:fldCharType="end"/>
        </w:r>
      </w:hyperlink>
    </w:p>
    <w:p w:rsidR="00473DDF" w:rsidRDefault="00473DDF" w:rsidP="004F4F82">
      <w:pPr>
        <w:pStyle w:val="TOC2"/>
        <w:spacing w:line="360" w:lineRule="auto"/>
        <w:rPr>
          <w:rFonts w:ascii="Calibri" w:eastAsia="宋体" w:hAnsi="Calibri"/>
          <w:smallCaps w:val="0"/>
          <w:noProof/>
          <w:szCs w:val="22"/>
        </w:rPr>
      </w:pPr>
      <w:hyperlink w:anchor="_Toc32499187" w:history="1">
        <w:r w:rsidRPr="006B335B">
          <w:rPr>
            <w:rStyle w:val="Hyperlink"/>
            <w:rFonts w:ascii="Times New Roman" w:hAnsi="Times New Roman" w:hint="eastAsia"/>
            <w:noProof/>
            <w:sz w:val="24"/>
          </w:rPr>
          <w:t>七、估价原则</w:t>
        </w:r>
        <w:r>
          <w:rPr>
            <w:noProof/>
            <w:webHidden/>
          </w:rPr>
          <w:tab/>
        </w:r>
        <w:r>
          <w:rPr>
            <w:noProof/>
            <w:webHidden/>
          </w:rPr>
          <w:fldChar w:fldCharType="begin"/>
        </w:r>
        <w:r>
          <w:rPr>
            <w:noProof/>
            <w:webHidden/>
          </w:rPr>
          <w:instrText xml:space="preserve"> PAGEREF _Toc32499187 \h </w:instrText>
        </w:r>
        <w:r>
          <w:rPr>
            <w:noProof/>
            <w:webHidden/>
          </w:rPr>
        </w:r>
        <w:r>
          <w:rPr>
            <w:noProof/>
            <w:webHidden/>
          </w:rPr>
          <w:fldChar w:fldCharType="separate"/>
        </w:r>
        <w:r>
          <w:rPr>
            <w:noProof/>
            <w:webHidden/>
          </w:rPr>
          <w:t>8</w:t>
        </w:r>
        <w:r>
          <w:rPr>
            <w:noProof/>
            <w:webHidden/>
          </w:rPr>
          <w:fldChar w:fldCharType="end"/>
        </w:r>
      </w:hyperlink>
    </w:p>
    <w:p w:rsidR="00473DDF" w:rsidRDefault="00473DDF" w:rsidP="004F4F82">
      <w:pPr>
        <w:pStyle w:val="TOC2"/>
        <w:spacing w:line="360" w:lineRule="auto"/>
        <w:rPr>
          <w:rFonts w:ascii="Calibri" w:eastAsia="宋体" w:hAnsi="Calibri"/>
          <w:smallCaps w:val="0"/>
          <w:noProof/>
          <w:szCs w:val="22"/>
        </w:rPr>
      </w:pPr>
      <w:hyperlink w:anchor="_Toc32499188" w:history="1">
        <w:r w:rsidRPr="006B335B">
          <w:rPr>
            <w:rStyle w:val="Hyperlink"/>
            <w:rFonts w:ascii="Times New Roman" w:hAnsi="Times New Roman" w:hint="eastAsia"/>
            <w:noProof/>
            <w:sz w:val="24"/>
          </w:rPr>
          <w:t>八、估价依据</w:t>
        </w:r>
        <w:r>
          <w:rPr>
            <w:noProof/>
            <w:webHidden/>
          </w:rPr>
          <w:tab/>
        </w:r>
        <w:r>
          <w:rPr>
            <w:noProof/>
            <w:webHidden/>
          </w:rPr>
          <w:fldChar w:fldCharType="begin"/>
        </w:r>
        <w:r>
          <w:rPr>
            <w:noProof/>
            <w:webHidden/>
          </w:rPr>
          <w:instrText xml:space="preserve"> PAGEREF _Toc32499188 \h </w:instrText>
        </w:r>
        <w:r>
          <w:rPr>
            <w:noProof/>
            <w:webHidden/>
          </w:rPr>
        </w:r>
        <w:r>
          <w:rPr>
            <w:noProof/>
            <w:webHidden/>
          </w:rPr>
          <w:fldChar w:fldCharType="separate"/>
        </w:r>
        <w:r>
          <w:rPr>
            <w:noProof/>
            <w:webHidden/>
          </w:rPr>
          <w:t>8</w:t>
        </w:r>
        <w:r>
          <w:rPr>
            <w:noProof/>
            <w:webHidden/>
          </w:rPr>
          <w:fldChar w:fldCharType="end"/>
        </w:r>
      </w:hyperlink>
    </w:p>
    <w:p w:rsidR="00473DDF" w:rsidRDefault="00473DDF" w:rsidP="004F4F82">
      <w:pPr>
        <w:pStyle w:val="TOC2"/>
        <w:spacing w:line="360" w:lineRule="auto"/>
        <w:rPr>
          <w:rFonts w:ascii="Calibri" w:eastAsia="宋体" w:hAnsi="Calibri"/>
          <w:smallCaps w:val="0"/>
          <w:noProof/>
          <w:szCs w:val="22"/>
        </w:rPr>
      </w:pPr>
      <w:hyperlink w:anchor="_Toc32499189" w:history="1">
        <w:r w:rsidRPr="006B335B">
          <w:rPr>
            <w:rStyle w:val="Hyperlink"/>
            <w:rFonts w:ascii="Times New Roman" w:hAnsi="Times New Roman" w:hint="eastAsia"/>
            <w:noProof/>
            <w:sz w:val="24"/>
          </w:rPr>
          <w:t>九、估价方法</w:t>
        </w:r>
        <w:r>
          <w:rPr>
            <w:noProof/>
            <w:webHidden/>
          </w:rPr>
          <w:tab/>
        </w:r>
        <w:r>
          <w:rPr>
            <w:noProof/>
            <w:webHidden/>
          </w:rPr>
          <w:fldChar w:fldCharType="begin"/>
        </w:r>
        <w:r>
          <w:rPr>
            <w:noProof/>
            <w:webHidden/>
          </w:rPr>
          <w:instrText xml:space="preserve"> PAGEREF _Toc32499189 \h </w:instrText>
        </w:r>
        <w:r>
          <w:rPr>
            <w:noProof/>
            <w:webHidden/>
          </w:rPr>
        </w:r>
        <w:r>
          <w:rPr>
            <w:noProof/>
            <w:webHidden/>
          </w:rPr>
          <w:fldChar w:fldCharType="separate"/>
        </w:r>
        <w:r>
          <w:rPr>
            <w:noProof/>
            <w:webHidden/>
          </w:rPr>
          <w:t>9</w:t>
        </w:r>
        <w:r>
          <w:rPr>
            <w:noProof/>
            <w:webHidden/>
          </w:rPr>
          <w:fldChar w:fldCharType="end"/>
        </w:r>
      </w:hyperlink>
    </w:p>
    <w:p w:rsidR="00473DDF" w:rsidRDefault="00473DDF" w:rsidP="004F4F82">
      <w:pPr>
        <w:pStyle w:val="TOC2"/>
        <w:spacing w:line="360" w:lineRule="auto"/>
        <w:rPr>
          <w:rFonts w:ascii="Calibri" w:eastAsia="宋体" w:hAnsi="Calibri"/>
          <w:smallCaps w:val="0"/>
          <w:noProof/>
          <w:szCs w:val="22"/>
        </w:rPr>
      </w:pPr>
      <w:hyperlink w:anchor="_Toc32499190" w:history="1">
        <w:r w:rsidRPr="006B335B">
          <w:rPr>
            <w:rStyle w:val="Hyperlink"/>
            <w:rFonts w:ascii="Times New Roman" w:hAnsi="Times New Roman" w:hint="eastAsia"/>
            <w:noProof/>
            <w:sz w:val="24"/>
          </w:rPr>
          <w:t>十、估价结果</w:t>
        </w:r>
        <w:r>
          <w:rPr>
            <w:noProof/>
            <w:webHidden/>
          </w:rPr>
          <w:tab/>
        </w:r>
        <w:r>
          <w:rPr>
            <w:noProof/>
            <w:webHidden/>
          </w:rPr>
          <w:fldChar w:fldCharType="begin"/>
        </w:r>
        <w:r>
          <w:rPr>
            <w:noProof/>
            <w:webHidden/>
          </w:rPr>
          <w:instrText xml:space="preserve"> PAGEREF _Toc32499190 \h </w:instrText>
        </w:r>
        <w:r>
          <w:rPr>
            <w:noProof/>
            <w:webHidden/>
          </w:rPr>
        </w:r>
        <w:r>
          <w:rPr>
            <w:noProof/>
            <w:webHidden/>
          </w:rPr>
          <w:fldChar w:fldCharType="separate"/>
        </w:r>
        <w:r>
          <w:rPr>
            <w:noProof/>
            <w:webHidden/>
          </w:rPr>
          <w:t>10</w:t>
        </w:r>
        <w:r>
          <w:rPr>
            <w:noProof/>
            <w:webHidden/>
          </w:rPr>
          <w:fldChar w:fldCharType="end"/>
        </w:r>
      </w:hyperlink>
    </w:p>
    <w:p w:rsidR="00473DDF" w:rsidRDefault="00473DDF" w:rsidP="004F4F82">
      <w:pPr>
        <w:pStyle w:val="TOC2"/>
        <w:spacing w:line="360" w:lineRule="auto"/>
        <w:rPr>
          <w:rFonts w:ascii="Calibri" w:eastAsia="宋体" w:hAnsi="Calibri"/>
          <w:smallCaps w:val="0"/>
          <w:noProof/>
          <w:szCs w:val="22"/>
        </w:rPr>
      </w:pPr>
      <w:hyperlink w:anchor="_Toc32499191" w:history="1">
        <w:r w:rsidRPr="006B335B">
          <w:rPr>
            <w:rStyle w:val="Hyperlink"/>
            <w:rFonts w:ascii="Times New Roman" w:hAnsi="Times New Roman" w:hint="eastAsia"/>
            <w:noProof/>
            <w:sz w:val="24"/>
          </w:rPr>
          <w:t>十一、</w:t>
        </w:r>
        <w:r w:rsidRPr="006B335B">
          <w:rPr>
            <w:rStyle w:val="Hyperlink"/>
            <w:rFonts w:ascii="黑体" w:hAnsi="黑体" w:hint="eastAsia"/>
            <w:noProof/>
            <w:sz w:val="24"/>
          </w:rPr>
          <w:t>注册房地产估价师</w:t>
        </w:r>
        <w:r>
          <w:rPr>
            <w:noProof/>
            <w:webHidden/>
          </w:rPr>
          <w:tab/>
        </w:r>
        <w:r>
          <w:rPr>
            <w:noProof/>
            <w:webHidden/>
          </w:rPr>
          <w:fldChar w:fldCharType="begin"/>
        </w:r>
        <w:r>
          <w:rPr>
            <w:noProof/>
            <w:webHidden/>
          </w:rPr>
          <w:instrText xml:space="preserve"> PAGEREF _Toc32499191 \h </w:instrText>
        </w:r>
        <w:r>
          <w:rPr>
            <w:noProof/>
            <w:webHidden/>
          </w:rPr>
        </w:r>
        <w:r>
          <w:rPr>
            <w:noProof/>
            <w:webHidden/>
          </w:rPr>
          <w:fldChar w:fldCharType="separate"/>
        </w:r>
        <w:r>
          <w:rPr>
            <w:noProof/>
            <w:webHidden/>
          </w:rPr>
          <w:t>12</w:t>
        </w:r>
        <w:r>
          <w:rPr>
            <w:noProof/>
            <w:webHidden/>
          </w:rPr>
          <w:fldChar w:fldCharType="end"/>
        </w:r>
      </w:hyperlink>
    </w:p>
    <w:p w:rsidR="00473DDF" w:rsidRDefault="00473DDF" w:rsidP="004F4F82">
      <w:pPr>
        <w:pStyle w:val="TOC2"/>
        <w:spacing w:line="360" w:lineRule="auto"/>
        <w:rPr>
          <w:rFonts w:ascii="Calibri" w:eastAsia="宋体" w:hAnsi="Calibri"/>
          <w:smallCaps w:val="0"/>
          <w:noProof/>
          <w:szCs w:val="22"/>
        </w:rPr>
      </w:pPr>
      <w:hyperlink w:anchor="_Toc32499192" w:history="1">
        <w:r w:rsidRPr="006B335B">
          <w:rPr>
            <w:rStyle w:val="Hyperlink"/>
            <w:rFonts w:ascii="黑体" w:hAnsi="黑体" w:hint="eastAsia"/>
            <w:noProof/>
            <w:sz w:val="24"/>
          </w:rPr>
          <w:t>十二、实地查勘期</w:t>
        </w:r>
        <w:r>
          <w:rPr>
            <w:noProof/>
            <w:webHidden/>
          </w:rPr>
          <w:tab/>
        </w:r>
        <w:r>
          <w:rPr>
            <w:noProof/>
            <w:webHidden/>
          </w:rPr>
          <w:fldChar w:fldCharType="begin"/>
        </w:r>
        <w:r>
          <w:rPr>
            <w:noProof/>
            <w:webHidden/>
          </w:rPr>
          <w:instrText xml:space="preserve"> PAGEREF _Toc32499192 \h </w:instrText>
        </w:r>
        <w:r>
          <w:rPr>
            <w:noProof/>
            <w:webHidden/>
          </w:rPr>
        </w:r>
        <w:r>
          <w:rPr>
            <w:noProof/>
            <w:webHidden/>
          </w:rPr>
          <w:fldChar w:fldCharType="separate"/>
        </w:r>
        <w:r>
          <w:rPr>
            <w:noProof/>
            <w:webHidden/>
          </w:rPr>
          <w:t>12</w:t>
        </w:r>
        <w:r>
          <w:rPr>
            <w:noProof/>
            <w:webHidden/>
          </w:rPr>
          <w:fldChar w:fldCharType="end"/>
        </w:r>
      </w:hyperlink>
    </w:p>
    <w:p w:rsidR="00473DDF" w:rsidRDefault="00473DDF" w:rsidP="004F4F82">
      <w:pPr>
        <w:pStyle w:val="TOC2"/>
        <w:spacing w:line="360" w:lineRule="auto"/>
        <w:rPr>
          <w:rFonts w:ascii="Calibri" w:eastAsia="宋体" w:hAnsi="Calibri"/>
          <w:smallCaps w:val="0"/>
          <w:noProof/>
          <w:szCs w:val="22"/>
        </w:rPr>
      </w:pPr>
      <w:hyperlink w:anchor="_Toc32499193" w:history="1">
        <w:r w:rsidRPr="006B335B">
          <w:rPr>
            <w:rStyle w:val="Hyperlink"/>
            <w:rFonts w:ascii="Times New Roman" w:hAnsi="Times New Roman" w:hint="eastAsia"/>
            <w:noProof/>
            <w:sz w:val="24"/>
          </w:rPr>
          <w:t>十三、估价作业期</w:t>
        </w:r>
        <w:r>
          <w:rPr>
            <w:noProof/>
            <w:webHidden/>
          </w:rPr>
          <w:tab/>
        </w:r>
        <w:r>
          <w:rPr>
            <w:noProof/>
            <w:webHidden/>
          </w:rPr>
          <w:fldChar w:fldCharType="begin"/>
        </w:r>
        <w:r>
          <w:rPr>
            <w:noProof/>
            <w:webHidden/>
          </w:rPr>
          <w:instrText xml:space="preserve"> PAGEREF _Toc32499193 \h </w:instrText>
        </w:r>
        <w:r>
          <w:rPr>
            <w:noProof/>
            <w:webHidden/>
          </w:rPr>
        </w:r>
        <w:r>
          <w:rPr>
            <w:noProof/>
            <w:webHidden/>
          </w:rPr>
          <w:fldChar w:fldCharType="separate"/>
        </w:r>
        <w:r>
          <w:rPr>
            <w:noProof/>
            <w:webHidden/>
          </w:rPr>
          <w:t>12</w:t>
        </w:r>
        <w:r>
          <w:rPr>
            <w:noProof/>
            <w:webHidden/>
          </w:rPr>
          <w:fldChar w:fldCharType="end"/>
        </w:r>
      </w:hyperlink>
    </w:p>
    <w:p w:rsidR="00473DDF" w:rsidRDefault="00473DDF" w:rsidP="004F4F82">
      <w:pPr>
        <w:pStyle w:val="TOC1"/>
        <w:spacing w:line="360" w:lineRule="auto"/>
        <w:rPr>
          <w:rFonts w:ascii="Calibri" w:eastAsia="宋体" w:hAnsi="Calibri"/>
          <w:bCs w:val="0"/>
          <w:caps w:val="0"/>
          <w:noProof/>
          <w:sz w:val="21"/>
          <w:szCs w:val="22"/>
        </w:rPr>
      </w:pPr>
      <w:hyperlink w:anchor="_Toc32499194" w:history="1">
        <w:r w:rsidRPr="006B335B">
          <w:rPr>
            <w:rStyle w:val="Hyperlink"/>
            <w:rFonts w:hint="eastAsia"/>
            <w:noProof/>
            <w:sz w:val="24"/>
            <w:szCs w:val="20"/>
          </w:rPr>
          <w:t>附</w:t>
        </w:r>
        <w:r w:rsidRPr="006B335B">
          <w:rPr>
            <w:rStyle w:val="Hyperlink"/>
            <w:noProof/>
            <w:sz w:val="24"/>
            <w:szCs w:val="20"/>
          </w:rPr>
          <w:t xml:space="preserve">   </w:t>
        </w:r>
        <w:r w:rsidRPr="006B335B">
          <w:rPr>
            <w:rStyle w:val="Hyperlink"/>
            <w:rFonts w:hint="eastAsia"/>
            <w:noProof/>
            <w:sz w:val="24"/>
            <w:szCs w:val="20"/>
          </w:rPr>
          <w:t>件</w:t>
        </w:r>
        <w:r>
          <w:rPr>
            <w:noProof/>
            <w:webHidden/>
          </w:rPr>
          <w:tab/>
        </w:r>
        <w:r>
          <w:rPr>
            <w:noProof/>
            <w:webHidden/>
          </w:rPr>
          <w:fldChar w:fldCharType="begin"/>
        </w:r>
        <w:r>
          <w:rPr>
            <w:noProof/>
            <w:webHidden/>
          </w:rPr>
          <w:instrText xml:space="preserve"> PAGEREF _Toc32499194 \h </w:instrText>
        </w:r>
        <w:r>
          <w:rPr>
            <w:noProof/>
            <w:webHidden/>
          </w:rPr>
        </w:r>
        <w:r>
          <w:rPr>
            <w:noProof/>
            <w:webHidden/>
          </w:rPr>
          <w:fldChar w:fldCharType="separate"/>
        </w:r>
        <w:r>
          <w:rPr>
            <w:noProof/>
            <w:webHidden/>
          </w:rPr>
          <w:t>13</w:t>
        </w:r>
        <w:r>
          <w:rPr>
            <w:noProof/>
            <w:webHidden/>
          </w:rPr>
          <w:fldChar w:fldCharType="end"/>
        </w:r>
      </w:hyperlink>
    </w:p>
    <w:p w:rsidR="00473DDF" w:rsidRDefault="00473DDF" w:rsidP="004F4F82">
      <w:pPr>
        <w:pStyle w:val="TOC2"/>
        <w:spacing w:line="360" w:lineRule="auto"/>
        <w:rPr>
          <w:rFonts w:ascii="Calibri" w:eastAsia="宋体" w:hAnsi="Calibri"/>
          <w:smallCaps w:val="0"/>
          <w:noProof/>
          <w:szCs w:val="22"/>
        </w:rPr>
      </w:pPr>
      <w:hyperlink w:anchor="_Toc32499195" w:history="1">
        <w:r w:rsidRPr="006B335B">
          <w:rPr>
            <w:rStyle w:val="Hyperlink"/>
            <w:rFonts w:ascii="Times New Roman" w:eastAsia="宋体" w:hAnsi="Times New Roman" w:hint="eastAsia"/>
            <w:noProof/>
            <w:sz w:val="24"/>
          </w:rPr>
          <w:t>一、《辽宁省丹东市中级人民法院委托书》复印件</w:t>
        </w:r>
      </w:hyperlink>
    </w:p>
    <w:p w:rsidR="00473DDF" w:rsidRDefault="00473DDF" w:rsidP="004F4F82">
      <w:pPr>
        <w:pStyle w:val="TOC2"/>
        <w:spacing w:line="360" w:lineRule="auto"/>
        <w:rPr>
          <w:rFonts w:ascii="Calibri" w:eastAsia="宋体" w:hAnsi="Calibri"/>
          <w:smallCaps w:val="0"/>
          <w:noProof/>
          <w:szCs w:val="22"/>
        </w:rPr>
      </w:pPr>
      <w:hyperlink w:anchor="_Toc32499196" w:history="1">
        <w:r w:rsidRPr="006B335B">
          <w:rPr>
            <w:rStyle w:val="Hyperlink"/>
            <w:rFonts w:ascii="Times New Roman" w:eastAsia="宋体" w:hAnsi="Times New Roman" w:hint="eastAsia"/>
            <w:noProof/>
            <w:sz w:val="24"/>
          </w:rPr>
          <w:t>二、估价对象位置示意图</w:t>
        </w:r>
      </w:hyperlink>
    </w:p>
    <w:p w:rsidR="00473DDF" w:rsidRDefault="00473DDF" w:rsidP="004F4F82">
      <w:pPr>
        <w:pStyle w:val="TOC2"/>
        <w:spacing w:line="360" w:lineRule="auto"/>
        <w:rPr>
          <w:rFonts w:ascii="Calibri" w:eastAsia="宋体" w:hAnsi="Calibri"/>
          <w:smallCaps w:val="0"/>
          <w:noProof/>
          <w:szCs w:val="22"/>
        </w:rPr>
      </w:pPr>
      <w:hyperlink w:anchor="_Toc32499197" w:history="1">
        <w:r w:rsidRPr="006B335B">
          <w:rPr>
            <w:rStyle w:val="Hyperlink"/>
            <w:rFonts w:ascii="Times New Roman" w:eastAsia="宋体" w:hAnsi="Times New Roman" w:hint="eastAsia"/>
            <w:noProof/>
            <w:sz w:val="24"/>
          </w:rPr>
          <w:t>三、估价对象内外部状况、小区环境和道路的照片</w:t>
        </w:r>
      </w:hyperlink>
    </w:p>
    <w:p w:rsidR="00473DDF" w:rsidRDefault="00473DDF" w:rsidP="004F4F82">
      <w:pPr>
        <w:pStyle w:val="TOC2"/>
        <w:spacing w:line="360" w:lineRule="auto"/>
        <w:rPr>
          <w:rFonts w:ascii="Calibri" w:eastAsia="宋体" w:hAnsi="Calibri"/>
          <w:smallCaps w:val="0"/>
          <w:noProof/>
          <w:szCs w:val="22"/>
        </w:rPr>
      </w:pPr>
      <w:hyperlink w:anchor="_Toc32499198" w:history="1">
        <w:r w:rsidRPr="006B335B">
          <w:rPr>
            <w:rStyle w:val="Hyperlink"/>
            <w:rFonts w:ascii="Times New Roman" w:eastAsia="宋体" w:hAnsi="Times New Roman" w:hint="eastAsia"/>
            <w:noProof/>
            <w:sz w:val="24"/>
          </w:rPr>
          <w:t>四、估价对象《房屋所有权证》复印件</w:t>
        </w:r>
      </w:hyperlink>
    </w:p>
    <w:p w:rsidR="00473DDF" w:rsidRDefault="00473DDF" w:rsidP="004F4F82">
      <w:pPr>
        <w:pStyle w:val="TOC2"/>
        <w:spacing w:line="360" w:lineRule="auto"/>
        <w:rPr>
          <w:rFonts w:ascii="Calibri" w:eastAsia="宋体" w:hAnsi="Calibri"/>
          <w:smallCaps w:val="0"/>
          <w:noProof/>
          <w:szCs w:val="22"/>
        </w:rPr>
      </w:pPr>
      <w:hyperlink w:anchor="_Toc32499199" w:history="1">
        <w:r w:rsidRPr="006B335B">
          <w:rPr>
            <w:rStyle w:val="Hyperlink"/>
            <w:rFonts w:ascii="Times New Roman" w:eastAsia="宋体" w:hAnsi="Times New Roman" w:hint="eastAsia"/>
            <w:noProof/>
            <w:sz w:val="24"/>
          </w:rPr>
          <w:t>五、估价对象《他项权利证》复印件</w:t>
        </w:r>
      </w:hyperlink>
    </w:p>
    <w:p w:rsidR="00473DDF" w:rsidRDefault="00473DDF" w:rsidP="004F4F82">
      <w:pPr>
        <w:pStyle w:val="TOC2"/>
        <w:spacing w:line="360" w:lineRule="auto"/>
        <w:rPr>
          <w:rFonts w:ascii="Calibri" w:eastAsia="宋体" w:hAnsi="Calibri"/>
          <w:smallCaps w:val="0"/>
          <w:noProof/>
          <w:szCs w:val="22"/>
        </w:rPr>
      </w:pPr>
      <w:hyperlink w:anchor="_Toc32499200" w:history="1">
        <w:r w:rsidRPr="006B335B">
          <w:rPr>
            <w:rStyle w:val="Hyperlink"/>
            <w:rFonts w:ascii="Times New Roman" w:eastAsia="宋体" w:hAnsi="Times New Roman" w:hint="eastAsia"/>
            <w:noProof/>
            <w:sz w:val="24"/>
          </w:rPr>
          <w:t>六、《房地产估价机构资质证书》复印件</w:t>
        </w:r>
      </w:hyperlink>
    </w:p>
    <w:p w:rsidR="00473DDF" w:rsidRDefault="00473DDF" w:rsidP="004F4F82">
      <w:pPr>
        <w:pStyle w:val="TOC2"/>
        <w:spacing w:line="360" w:lineRule="auto"/>
        <w:rPr>
          <w:rFonts w:ascii="Calibri" w:eastAsia="宋体" w:hAnsi="Calibri"/>
          <w:smallCaps w:val="0"/>
          <w:noProof/>
          <w:szCs w:val="22"/>
        </w:rPr>
      </w:pPr>
      <w:hyperlink w:anchor="_Toc32499201" w:history="1">
        <w:r w:rsidRPr="006B335B">
          <w:rPr>
            <w:rStyle w:val="Hyperlink"/>
            <w:rFonts w:ascii="Times New Roman" w:eastAsia="宋体" w:hAnsi="Times New Roman" w:hint="eastAsia"/>
            <w:noProof/>
            <w:sz w:val="24"/>
          </w:rPr>
          <w:t>七、房地产估价机构《营业执照（副本）》复印件</w:t>
        </w:r>
      </w:hyperlink>
    </w:p>
    <w:p w:rsidR="00473DDF" w:rsidRDefault="00473DDF" w:rsidP="004F4F82">
      <w:pPr>
        <w:pStyle w:val="TOC2"/>
        <w:spacing w:line="360" w:lineRule="auto"/>
        <w:rPr>
          <w:rFonts w:ascii="黑体"/>
          <w:bCs/>
          <w:color w:val="000000"/>
          <w:spacing w:val="20"/>
        </w:rPr>
      </w:pPr>
      <w:hyperlink w:anchor="_Toc32499202" w:history="1">
        <w:r w:rsidRPr="006B335B">
          <w:rPr>
            <w:rStyle w:val="Hyperlink"/>
            <w:rFonts w:ascii="Times New Roman" w:eastAsia="宋体" w:hAnsi="Times New Roman" w:hint="eastAsia"/>
            <w:noProof/>
            <w:sz w:val="24"/>
          </w:rPr>
          <w:t>八、《房地产估价师注册证书》复印件</w:t>
        </w:r>
      </w:hyperlink>
      <w:r w:rsidRPr="004F4F82">
        <w:rPr>
          <w:color w:val="000000"/>
          <w:spacing w:val="20"/>
        </w:rPr>
        <w:fldChar w:fldCharType="end"/>
      </w:r>
    </w:p>
    <w:p w:rsidR="00473DDF" w:rsidRDefault="00473DDF">
      <w:pPr>
        <w:rPr>
          <w:rFonts w:ascii="黑体" w:eastAsia="黑体"/>
          <w:bCs/>
          <w:color w:val="000000"/>
          <w:spacing w:val="20"/>
        </w:rPr>
      </w:pPr>
    </w:p>
    <w:p w:rsidR="00473DDF" w:rsidRDefault="00473DDF">
      <w:pPr>
        <w:rPr>
          <w:rFonts w:ascii="黑体" w:eastAsia="黑体"/>
          <w:bCs/>
          <w:color w:val="000000"/>
          <w:spacing w:val="20"/>
        </w:rPr>
        <w:sectPr w:rsidR="00473DDF">
          <w:headerReference w:type="default" r:id="rId14"/>
          <w:footerReference w:type="default" r:id="rId15"/>
          <w:pgSz w:w="11907" w:h="16840"/>
          <w:pgMar w:top="1440" w:right="1797" w:bottom="1440" w:left="1797" w:header="851" w:footer="851" w:gutter="0"/>
          <w:pgNumType w:start="1"/>
          <w:cols w:space="720"/>
          <w:docGrid w:linePitch="312"/>
        </w:sectPr>
      </w:pPr>
    </w:p>
    <w:p w:rsidR="00473DDF" w:rsidRDefault="00473DDF"/>
    <w:p w:rsidR="00473DDF" w:rsidRDefault="00473DDF">
      <w:pPr>
        <w:pStyle w:val="Heading1"/>
        <w:spacing w:before="0" w:after="0" w:line="240" w:lineRule="auto"/>
        <w:jc w:val="center"/>
        <w:rPr>
          <w:rFonts w:eastAsia="黑体"/>
          <w:b w:val="0"/>
          <w:color w:val="000000"/>
          <w:sz w:val="36"/>
          <w:szCs w:val="36"/>
        </w:rPr>
      </w:pPr>
      <w:bookmarkStart w:id="0" w:name="_Toc32499178"/>
      <w:r>
        <w:rPr>
          <w:rFonts w:eastAsia="黑体" w:hint="eastAsia"/>
          <w:b w:val="0"/>
          <w:color w:val="000000"/>
          <w:sz w:val="36"/>
          <w:szCs w:val="36"/>
        </w:rPr>
        <w:t>估价师声明</w:t>
      </w:r>
      <w:bookmarkEnd w:id="0"/>
    </w:p>
    <w:p w:rsidR="00473DDF" w:rsidRDefault="00473DDF" w:rsidP="00822204">
      <w:pPr>
        <w:pStyle w:val="PlainText"/>
        <w:spacing w:beforeLines="25" w:afterLines="25" w:line="360" w:lineRule="auto"/>
        <w:rPr>
          <w:rFonts w:ascii="黑体" w:eastAsia="黑体" w:hAnsi="宋体"/>
          <w:sz w:val="24"/>
        </w:rPr>
      </w:pPr>
    </w:p>
    <w:p w:rsidR="00473DDF" w:rsidRDefault="00473DDF" w:rsidP="00822204">
      <w:pPr>
        <w:pStyle w:val="PlainText"/>
        <w:spacing w:beforeLines="25" w:afterLines="25" w:line="360" w:lineRule="auto"/>
        <w:rPr>
          <w:rFonts w:ascii="黑体" w:eastAsia="黑体" w:hAnsi="Times New Roman"/>
          <w:sz w:val="24"/>
        </w:rPr>
      </w:pPr>
      <w:r>
        <w:rPr>
          <w:rFonts w:ascii="黑体" w:eastAsia="黑体" w:hAnsi="宋体" w:hint="eastAsia"/>
          <w:sz w:val="24"/>
        </w:rPr>
        <w:t>我们根据房地产估价专业知识和职业道德，在此郑重声明：</w:t>
      </w:r>
    </w:p>
    <w:p w:rsidR="00473DDF" w:rsidRDefault="00473DDF">
      <w:pPr>
        <w:pStyle w:val="PlainText"/>
        <w:spacing w:line="360" w:lineRule="auto"/>
        <w:ind w:firstLineChars="200" w:firstLine="480"/>
        <w:rPr>
          <w:sz w:val="24"/>
        </w:rPr>
      </w:pPr>
      <w:r>
        <w:rPr>
          <w:rFonts w:hint="eastAsia"/>
          <w:sz w:val="24"/>
        </w:rPr>
        <w:t>一、我们在本估价报告中对事实的说明是真实和准确的，没有虚假记载、误导性陈述和重大遗漏。</w:t>
      </w:r>
    </w:p>
    <w:p w:rsidR="00473DDF" w:rsidRDefault="00473DDF">
      <w:pPr>
        <w:pStyle w:val="PlainText"/>
        <w:spacing w:line="360" w:lineRule="auto"/>
        <w:ind w:firstLineChars="200" w:firstLine="480"/>
        <w:rPr>
          <w:sz w:val="24"/>
        </w:rPr>
      </w:pPr>
      <w:r>
        <w:rPr>
          <w:rFonts w:hint="eastAsia"/>
          <w:sz w:val="24"/>
        </w:rPr>
        <w:t>二、本估价报告中的分析、意见和结论是我们独立、客观、公正的专业分析、意见和结论，但受到本估价报告中已经说明的估价假设和限制条件的限制。</w:t>
      </w:r>
    </w:p>
    <w:p w:rsidR="00473DDF" w:rsidRDefault="00473DDF">
      <w:pPr>
        <w:pStyle w:val="PlainText"/>
        <w:spacing w:line="360" w:lineRule="auto"/>
        <w:ind w:firstLineChars="200" w:firstLine="480"/>
        <w:rPr>
          <w:sz w:val="24"/>
        </w:rPr>
      </w:pPr>
      <w:r>
        <w:rPr>
          <w:rFonts w:hint="eastAsia"/>
          <w:sz w:val="24"/>
        </w:rPr>
        <w:t>三、我们与本估价报告中的估价对象没有现实或潜在的利益，与估价委托人及估价利害关系人没有利害关系，也对估价对象、估价委托人及估价利害关系人没有偏见。</w:t>
      </w:r>
    </w:p>
    <w:p w:rsidR="00473DDF" w:rsidRDefault="00473DDF">
      <w:pPr>
        <w:pStyle w:val="PlainText"/>
        <w:spacing w:line="360" w:lineRule="auto"/>
        <w:ind w:firstLineChars="200" w:firstLine="480"/>
        <w:rPr>
          <w:sz w:val="24"/>
        </w:rPr>
      </w:pPr>
      <w:r>
        <w:rPr>
          <w:rFonts w:hint="eastAsia"/>
          <w:sz w:val="24"/>
        </w:rPr>
        <w:t>四、我们是依照中华人民共和国国家标准《房地产估价规范》（</w:t>
      </w:r>
      <w:r>
        <w:rPr>
          <w:sz w:val="24"/>
        </w:rPr>
        <w:t>GB/T 50291-2015</w:t>
      </w:r>
      <w:r>
        <w:rPr>
          <w:rFonts w:hint="eastAsia"/>
          <w:sz w:val="24"/>
        </w:rPr>
        <w:t>）、《房地产估价基本术语标准》（</w:t>
      </w:r>
      <w:r>
        <w:rPr>
          <w:sz w:val="24"/>
        </w:rPr>
        <w:t>GB/T 50899-2013</w:t>
      </w:r>
      <w:r>
        <w:rPr>
          <w:rFonts w:hint="eastAsia"/>
          <w:sz w:val="24"/>
        </w:rPr>
        <w:t>）进行估价工作，撰写估价报告。</w:t>
      </w:r>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hint="eastAsia"/>
          <w:sz w:val="24"/>
        </w:rPr>
        <w:t>五、经办法官、原告代理人</w:t>
      </w:r>
      <w:r>
        <w:rPr>
          <w:rFonts w:ascii="Times New Roman" w:hAnsi="Times New Roman" w:hint="eastAsia"/>
          <w:color w:val="000000"/>
          <w:sz w:val="24"/>
        </w:rPr>
        <w:t>及</w:t>
      </w:r>
      <w:r>
        <w:rPr>
          <w:rFonts w:hint="eastAsia"/>
          <w:sz w:val="24"/>
        </w:rPr>
        <w:t>注册房地产估价师陈树君、宋江明于</w:t>
      </w:r>
      <w:r>
        <w:rPr>
          <w:rFonts w:ascii="Times New Roman" w:hAnsi="Times New Roman"/>
          <w:color w:val="000000"/>
          <w:sz w:val="24"/>
        </w:rPr>
        <w:t>2020</w:t>
      </w:r>
      <w:r>
        <w:rPr>
          <w:rFonts w:ascii="Times New Roman" w:hAnsi="Times New Roman" w:hint="eastAsia"/>
          <w:color w:val="000000"/>
          <w:sz w:val="24"/>
        </w:rPr>
        <w:t>年</w:t>
      </w:r>
      <w:r>
        <w:rPr>
          <w:rFonts w:ascii="Times New Roman" w:hAnsi="Times New Roman"/>
          <w:color w:val="000000"/>
          <w:sz w:val="24"/>
        </w:rPr>
        <w:t>1</w:t>
      </w:r>
      <w:r>
        <w:rPr>
          <w:rFonts w:ascii="Times New Roman" w:hAnsi="Times New Roman" w:hint="eastAsia"/>
          <w:color w:val="000000"/>
          <w:sz w:val="24"/>
        </w:rPr>
        <w:t>月</w:t>
      </w:r>
      <w:r>
        <w:rPr>
          <w:rFonts w:ascii="Times New Roman" w:hAnsi="Times New Roman"/>
          <w:color w:val="000000"/>
          <w:sz w:val="24"/>
        </w:rPr>
        <w:t>17</w:t>
      </w:r>
      <w:r>
        <w:rPr>
          <w:rFonts w:ascii="Times New Roman" w:hAnsi="Times New Roman" w:hint="eastAsia"/>
          <w:color w:val="000000"/>
          <w:sz w:val="24"/>
        </w:rPr>
        <w:t>日对本估价报告中的估价对象</w:t>
      </w:r>
      <w:r>
        <w:rPr>
          <w:rFonts w:ascii="Times New Roman" w:hAnsi="宋体" w:hint="eastAsia"/>
          <w:sz w:val="24"/>
        </w:rPr>
        <w:t>建筑结构、室内外状况进行了实地查勘并进行记录</w:t>
      </w:r>
      <w:r>
        <w:rPr>
          <w:rFonts w:hint="eastAsia"/>
          <w:sz w:val="24"/>
        </w:rPr>
        <w:t>。</w:t>
      </w:r>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hint="eastAsia"/>
          <w:color w:val="000000"/>
          <w:sz w:val="24"/>
        </w:rPr>
        <w:t>六、</w:t>
      </w:r>
      <w:r>
        <w:rPr>
          <w:rFonts w:ascii="Times New Roman" w:hAnsi="Times New Roman" w:hint="eastAsia"/>
          <w:sz w:val="24"/>
        </w:rPr>
        <w:t>没有人对本估价报告提供重要专业帮助。</w:t>
      </w:r>
    </w:p>
    <w:p w:rsidR="00473DDF" w:rsidRDefault="00473DDF">
      <w:pPr>
        <w:pStyle w:val="PlainText"/>
        <w:jc w:val="center"/>
        <w:rPr>
          <w:rFonts w:ascii="Times New Roman" w:eastAsia="黑体" w:hAnsi="Times New Roman"/>
          <w:color w:val="000000"/>
          <w:sz w:val="24"/>
        </w:rPr>
      </w:pPr>
    </w:p>
    <w:p w:rsidR="00473DDF" w:rsidRDefault="00473DDF">
      <w:pPr>
        <w:rPr>
          <w:color w:val="000000"/>
          <w:sz w:val="11"/>
          <w:szCs w:val="11"/>
        </w:rPr>
      </w:pPr>
      <w:r>
        <w:rPr>
          <w:color w:val="000000"/>
        </w:rPr>
        <w:br w:type="page"/>
      </w:r>
    </w:p>
    <w:p w:rsidR="00473DDF" w:rsidRDefault="00473DDF">
      <w:pPr>
        <w:rPr>
          <w:rFonts w:eastAsia="黑体"/>
          <w:b/>
          <w:color w:val="000000"/>
          <w:sz w:val="28"/>
          <w:szCs w:val="28"/>
        </w:rPr>
      </w:pPr>
    </w:p>
    <w:p w:rsidR="00473DDF" w:rsidRDefault="00473DDF">
      <w:pPr>
        <w:pStyle w:val="Heading1"/>
        <w:spacing w:before="0" w:after="0" w:line="480" w:lineRule="auto"/>
        <w:jc w:val="center"/>
        <w:rPr>
          <w:rFonts w:eastAsia="黑体"/>
          <w:b w:val="0"/>
          <w:color w:val="000000"/>
          <w:sz w:val="36"/>
          <w:szCs w:val="36"/>
        </w:rPr>
      </w:pPr>
      <w:bookmarkStart w:id="1" w:name="_Toc32499179"/>
      <w:r>
        <w:rPr>
          <w:rFonts w:eastAsia="黑体" w:hint="eastAsia"/>
          <w:b w:val="0"/>
          <w:color w:val="000000"/>
          <w:sz w:val="36"/>
          <w:szCs w:val="36"/>
        </w:rPr>
        <w:t>估价假设和限制条件</w:t>
      </w:r>
      <w:bookmarkEnd w:id="1"/>
    </w:p>
    <w:p w:rsidR="00473DDF" w:rsidRDefault="00473DDF" w:rsidP="00822204">
      <w:pPr>
        <w:spacing w:beforeLines="25" w:afterLines="25" w:line="360" w:lineRule="auto"/>
        <w:ind w:firstLineChars="200" w:firstLine="480"/>
        <w:rPr>
          <w:rFonts w:eastAsia="黑体"/>
          <w:color w:val="000000"/>
          <w:sz w:val="24"/>
        </w:rPr>
      </w:pPr>
      <w:r>
        <w:rPr>
          <w:rFonts w:eastAsia="黑体" w:hint="eastAsia"/>
          <w:color w:val="000000"/>
          <w:sz w:val="24"/>
        </w:rPr>
        <w:t>一、估价假设</w:t>
      </w:r>
    </w:p>
    <w:p w:rsidR="00473DDF" w:rsidRDefault="00473DDF" w:rsidP="00822204">
      <w:pPr>
        <w:spacing w:beforeLines="25" w:afterLines="25" w:line="360" w:lineRule="auto"/>
        <w:ind w:firstLineChars="200" w:firstLine="480"/>
        <w:rPr>
          <w:sz w:val="24"/>
        </w:rPr>
      </w:pPr>
      <w:r>
        <w:rPr>
          <w:rFonts w:hint="eastAsia"/>
          <w:color w:val="000000"/>
          <w:sz w:val="24"/>
        </w:rPr>
        <w:t>（一）</w:t>
      </w:r>
      <w:r>
        <w:rPr>
          <w:rFonts w:hint="eastAsia"/>
          <w:sz w:val="24"/>
        </w:rPr>
        <w:t>一般假设</w:t>
      </w:r>
    </w:p>
    <w:p w:rsidR="00473DDF" w:rsidRDefault="00473DDF" w:rsidP="00822204">
      <w:pPr>
        <w:spacing w:beforeLines="25" w:afterLines="25" w:line="360" w:lineRule="auto"/>
        <w:ind w:firstLineChars="200" w:firstLine="480"/>
        <w:rPr>
          <w:color w:val="000000"/>
          <w:sz w:val="24"/>
        </w:rPr>
      </w:pPr>
      <w:r>
        <w:rPr>
          <w:sz w:val="24"/>
        </w:rPr>
        <w:t>1</w:t>
      </w:r>
      <w:r>
        <w:rPr>
          <w:rFonts w:hint="eastAsia"/>
          <w:sz w:val="24"/>
        </w:rPr>
        <w:t>、</w:t>
      </w:r>
      <w:r>
        <w:rPr>
          <w:rFonts w:hint="eastAsia"/>
          <w:color w:val="000000"/>
          <w:sz w:val="24"/>
        </w:rPr>
        <w:t>本次估价确定估价对象的市场价值是基于以下假设前提：市场参与者集体的观念和行为，包括：不存在买方因特殊兴趣而给予附加出价；既不过于乐观又不过于保守；最高最佳利用；继续利用或持续经营。</w:t>
      </w:r>
    </w:p>
    <w:p w:rsidR="00473DDF" w:rsidRDefault="00473DDF" w:rsidP="00822204">
      <w:pPr>
        <w:spacing w:beforeLines="25" w:afterLines="25" w:line="360" w:lineRule="auto"/>
        <w:ind w:firstLineChars="200" w:firstLine="480"/>
        <w:rPr>
          <w:rFonts w:hAnsi="宋体"/>
          <w:sz w:val="24"/>
        </w:rPr>
      </w:pPr>
      <w:r>
        <w:rPr>
          <w:color w:val="000000"/>
          <w:sz w:val="24"/>
        </w:rPr>
        <w:t>2</w:t>
      </w:r>
      <w:r>
        <w:rPr>
          <w:rFonts w:hint="eastAsia"/>
          <w:color w:val="000000"/>
          <w:sz w:val="24"/>
        </w:rPr>
        <w:t>、</w:t>
      </w:r>
      <w:r>
        <w:rPr>
          <w:rFonts w:hAnsi="宋体" w:hint="eastAsia"/>
          <w:sz w:val="24"/>
        </w:rPr>
        <w:t>估价对象的建筑面积及房屋权属状况以法官</w:t>
      </w:r>
      <w:r>
        <w:rPr>
          <w:rFonts w:hint="eastAsia"/>
          <w:sz w:val="24"/>
        </w:rPr>
        <w:t>提供的《房屋所有权证》复印件为依据，</w:t>
      </w:r>
      <w:r>
        <w:rPr>
          <w:rFonts w:hAnsi="宋体" w:hint="eastAsia"/>
          <w:sz w:val="24"/>
        </w:rPr>
        <w:t>并以此作为假设前提。经过实地目测大体相当，但房地产估价师未进行专业测量。</w:t>
      </w:r>
    </w:p>
    <w:p w:rsidR="00473DDF" w:rsidRDefault="00473DDF" w:rsidP="00822204">
      <w:pPr>
        <w:spacing w:beforeLines="25" w:afterLines="25" w:line="360" w:lineRule="auto"/>
        <w:ind w:firstLineChars="200" w:firstLine="480"/>
        <w:rPr>
          <w:color w:val="000000"/>
          <w:sz w:val="24"/>
        </w:rPr>
      </w:pPr>
      <w:r>
        <w:rPr>
          <w:color w:val="000000"/>
          <w:sz w:val="24"/>
        </w:rPr>
        <w:t>3</w:t>
      </w:r>
      <w:r>
        <w:rPr>
          <w:rFonts w:hint="eastAsia"/>
          <w:color w:val="000000"/>
          <w:sz w:val="24"/>
        </w:rPr>
        <w:t>、</w:t>
      </w:r>
      <w:r>
        <w:rPr>
          <w:rFonts w:hAnsi="宋体" w:hint="eastAsia"/>
          <w:sz w:val="24"/>
        </w:rPr>
        <w:t>本次估价以</w:t>
      </w:r>
      <w:r>
        <w:rPr>
          <w:rFonts w:hint="eastAsia"/>
          <w:sz w:val="24"/>
        </w:rPr>
        <w:t>估价对象在价值时点及以后，能够按照最高最佳利用原则而维持现状、持续利用为前提，即按实际用途持续使用。</w:t>
      </w:r>
    </w:p>
    <w:p w:rsidR="00473DDF" w:rsidRDefault="00473DDF" w:rsidP="00822204">
      <w:pPr>
        <w:spacing w:beforeLines="25" w:afterLines="25" w:line="336" w:lineRule="auto"/>
        <w:ind w:firstLineChars="200" w:firstLine="480"/>
        <w:rPr>
          <w:sz w:val="24"/>
        </w:rPr>
      </w:pPr>
      <w:r>
        <w:rPr>
          <w:sz w:val="24"/>
        </w:rPr>
        <w:t>4</w:t>
      </w:r>
      <w:r>
        <w:rPr>
          <w:rFonts w:hint="eastAsia"/>
          <w:sz w:val="24"/>
        </w:rPr>
        <w:t>、</w:t>
      </w:r>
      <w:r>
        <w:rPr>
          <w:rFonts w:hint="eastAsia"/>
          <w:color w:val="000000"/>
          <w:sz w:val="24"/>
        </w:rPr>
        <w:t>本次估价以实地查勘完成之日作为价值时点，并假设人民法院拍卖（或者变卖）财产之日的评估对象状况和房地产市场状况与实地查勘完成之日的状况相同。</w:t>
      </w:r>
    </w:p>
    <w:p w:rsidR="00473DDF" w:rsidRDefault="00473DDF" w:rsidP="00822204">
      <w:pPr>
        <w:spacing w:beforeLines="25" w:afterLines="25" w:line="360" w:lineRule="auto"/>
        <w:ind w:firstLineChars="200" w:firstLine="480"/>
        <w:rPr>
          <w:sz w:val="24"/>
        </w:rPr>
      </w:pPr>
      <w:r>
        <w:rPr>
          <w:sz w:val="24"/>
        </w:rPr>
        <w:t>5</w:t>
      </w:r>
      <w:r>
        <w:rPr>
          <w:rFonts w:hint="eastAsia"/>
          <w:sz w:val="24"/>
        </w:rPr>
        <w:t>、本次估价对房屋安全、环境污染等影响估价对象价值或价格的重大因素给予了关注，在无理由怀疑估价对象存在安全隐患且无相应的专业机构进行鉴定、检测的情况下，本次估价合理假定估价对象是安全的。</w:t>
      </w:r>
    </w:p>
    <w:p w:rsidR="00473DDF" w:rsidRDefault="00473DDF" w:rsidP="00822204">
      <w:pPr>
        <w:spacing w:beforeLines="25" w:afterLines="25" w:line="360" w:lineRule="auto"/>
        <w:ind w:firstLineChars="200" w:firstLine="480"/>
        <w:rPr>
          <w:color w:val="000000"/>
          <w:sz w:val="24"/>
        </w:rPr>
      </w:pPr>
      <w:r>
        <w:rPr>
          <w:color w:val="000000"/>
          <w:sz w:val="24"/>
        </w:rPr>
        <w:t>6</w:t>
      </w:r>
      <w:r>
        <w:rPr>
          <w:rFonts w:hint="eastAsia"/>
          <w:color w:val="000000"/>
          <w:sz w:val="24"/>
        </w:rPr>
        <w:t>、</w:t>
      </w:r>
      <w:r>
        <w:rPr>
          <w:rFonts w:hint="eastAsia"/>
          <w:sz w:val="24"/>
        </w:rPr>
        <w:t>对本次估价所依据的估价委托人提供的估价对象权属、面积、用途等资料进行了审慎检查，并与原件核对相符，在无理由怀疑其合法性、真实性、准确性的情况下，本次估价合理假定估价委托人提供的</w:t>
      </w:r>
      <w:r>
        <w:rPr>
          <w:rFonts w:ascii="宋体" w:hAnsi="宋体" w:hint="eastAsia"/>
          <w:sz w:val="24"/>
        </w:rPr>
        <w:t>估价所需资料是</w:t>
      </w:r>
      <w:r>
        <w:rPr>
          <w:rFonts w:hint="eastAsia"/>
          <w:sz w:val="24"/>
        </w:rPr>
        <w:t>合法、真实、准确和完整的</w:t>
      </w:r>
      <w:r>
        <w:rPr>
          <w:rFonts w:ascii="宋体" w:hAnsi="宋体" w:hint="eastAsia"/>
          <w:sz w:val="24"/>
        </w:rPr>
        <w:t>。若估价委托人提供的估价所需资料失实或有任何隐匿，本公司不承担责任。</w:t>
      </w:r>
    </w:p>
    <w:p w:rsidR="00473DDF" w:rsidRDefault="00473DDF">
      <w:pPr>
        <w:pStyle w:val="PlainText"/>
        <w:numPr>
          <w:ilvl w:val="0"/>
          <w:numId w:val="1"/>
        </w:numPr>
        <w:spacing w:line="360" w:lineRule="auto"/>
        <w:ind w:firstLineChars="200" w:firstLine="480"/>
        <w:rPr>
          <w:sz w:val="24"/>
        </w:rPr>
      </w:pPr>
      <w:r>
        <w:rPr>
          <w:rFonts w:hint="eastAsia"/>
          <w:sz w:val="24"/>
        </w:rPr>
        <w:t>未定事项假设</w:t>
      </w:r>
    </w:p>
    <w:p w:rsidR="00473DDF" w:rsidRDefault="00473DDF" w:rsidP="00822204">
      <w:pPr>
        <w:spacing w:beforeLines="25" w:afterLines="25" w:line="360" w:lineRule="auto"/>
        <w:ind w:firstLineChars="200" w:firstLine="480"/>
        <w:rPr>
          <w:color w:val="000000"/>
          <w:sz w:val="24"/>
        </w:rPr>
      </w:pPr>
      <w:r>
        <w:rPr>
          <w:sz w:val="24"/>
        </w:rPr>
        <w:t>1</w:t>
      </w:r>
      <w:r>
        <w:rPr>
          <w:rFonts w:hint="eastAsia"/>
          <w:sz w:val="24"/>
        </w:rPr>
        <w:t>、本次估价是以估价对象在价值时点时的状况为依据进行的，</w:t>
      </w:r>
      <w:r>
        <w:rPr>
          <w:rFonts w:hint="eastAsia"/>
          <w:color w:val="000000"/>
          <w:sz w:val="24"/>
        </w:rPr>
        <w:t>注册房地产估价师进行实地查勘时，未对建筑物的基础、房屋结构等方面进行专业测量和实验，本次估价假设建筑物不存在建筑物基础、房屋结构等方面的重大质量问题。</w:t>
      </w:r>
    </w:p>
    <w:p w:rsidR="00473DDF" w:rsidRDefault="00473DDF" w:rsidP="00822204">
      <w:pPr>
        <w:spacing w:beforeLines="25" w:afterLines="25" w:line="360" w:lineRule="auto"/>
        <w:ind w:firstLineChars="200" w:firstLine="480"/>
        <w:rPr>
          <w:sz w:val="24"/>
        </w:rPr>
      </w:pPr>
      <w:r>
        <w:rPr>
          <w:rFonts w:ascii="宋体" w:hAnsi="宋体"/>
          <w:sz w:val="24"/>
        </w:rPr>
        <w:t>2</w:t>
      </w:r>
      <w:r>
        <w:rPr>
          <w:rFonts w:ascii="宋体" w:hAnsi="宋体" w:hint="eastAsia"/>
          <w:sz w:val="24"/>
        </w:rPr>
        <w:t>、本估价报告的估价结果是在正常市场状况下形成的，未考虑国家宏观经济政策发生变化、市场供应关系变化、市场结构转变、遇有自然力和其他不可抗力等因素对估价结果可能产生的影响，</w:t>
      </w:r>
      <w:r>
        <w:rPr>
          <w:rFonts w:hint="eastAsia"/>
          <w:color w:val="000000"/>
          <w:sz w:val="24"/>
        </w:rPr>
        <w:t>本次估价假定于价值时点尚未发生上述影响因素</w:t>
      </w:r>
      <w:r>
        <w:rPr>
          <w:rFonts w:hint="eastAsia"/>
          <w:sz w:val="24"/>
        </w:rPr>
        <w:t>。</w:t>
      </w:r>
    </w:p>
    <w:p w:rsidR="00473DDF" w:rsidRDefault="00473DDF">
      <w:pPr>
        <w:pStyle w:val="PlainText"/>
        <w:numPr>
          <w:ilvl w:val="0"/>
          <w:numId w:val="1"/>
        </w:numPr>
        <w:spacing w:line="360" w:lineRule="auto"/>
        <w:ind w:firstLineChars="200" w:firstLine="480"/>
        <w:rPr>
          <w:sz w:val="24"/>
        </w:rPr>
      </w:pPr>
      <w:r>
        <w:rPr>
          <w:rFonts w:hint="eastAsia"/>
          <w:sz w:val="24"/>
        </w:rPr>
        <w:t>背离事实假设</w:t>
      </w:r>
    </w:p>
    <w:p w:rsidR="00473DDF" w:rsidRDefault="00473DDF">
      <w:pPr>
        <w:pStyle w:val="PlainText"/>
        <w:spacing w:line="360" w:lineRule="auto"/>
        <w:ind w:firstLineChars="200" w:firstLine="480"/>
        <w:rPr>
          <w:sz w:val="24"/>
        </w:rPr>
      </w:pPr>
      <w:r>
        <w:rPr>
          <w:sz w:val="24"/>
        </w:rPr>
        <w:t>1</w:t>
      </w:r>
      <w:r>
        <w:rPr>
          <w:rFonts w:hint="eastAsia"/>
          <w:sz w:val="24"/>
        </w:rPr>
        <w:t>、本估价报告所确定的估价对象市场价值是在本次估价特定目的及假设条件下形成的，未考虑未来强制处分、快速变现、处置费用、交易税费等风险因素的影响。本次估价假定于价值时点尚未发生上述风险因素。</w:t>
      </w:r>
    </w:p>
    <w:p w:rsidR="00473DDF" w:rsidRDefault="00473DDF" w:rsidP="00822204">
      <w:pPr>
        <w:spacing w:beforeLines="25" w:afterLines="25" w:line="336" w:lineRule="auto"/>
        <w:ind w:firstLineChars="200" w:firstLine="480"/>
        <w:rPr>
          <w:sz w:val="24"/>
        </w:rPr>
      </w:pPr>
      <w:r>
        <w:rPr>
          <w:rFonts w:ascii="宋体" w:hAnsi="宋体"/>
          <w:sz w:val="24"/>
        </w:rPr>
        <w:t>2</w:t>
      </w:r>
      <w:r>
        <w:rPr>
          <w:rFonts w:ascii="宋体" w:hAnsi="宋体" w:hint="eastAsia"/>
          <w:sz w:val="24"/>
        </w:rPr>
        <w:t>、本次估价未考虑估价对象及其所有权人已承担的债务、或有债务及经营决策失误或市场运作失当对估价结果可能产生的影响，也未考虑到估价对象可能承担违约责任的事宜，以及特殊交易方式下的特殊交易价格等对估价结果产生的影响，</w:t>
      </w:r>
      <w:r>
        <w:rPr>
          <w:rFonts w:hint="eastAsia"/>
          <w:sz w:val="24"/>
        </w:rPr>
        <w:t>本次估价假定于价值时点尚未发生上述影响因素。</w:t>
      </w:r>
    </w:p>
    <w:p w:rsidR="00473DDF" w:rsidRDefault="00473DDF" w:rsidP="00822204">
      <w:pPr>
        <w:spacing w:beforeLines="25" w:afterLines="25" w:line="336" w:lineRule="auto"/>
        <w:ind w:firstLineChars="200" w:firstLine="480"/>
        <w:rPr>
          <w:color w:val="000000"/>
          <w:sz w:val="24"/>
          <w:highlight w:val="yellow"/>
        </w:rPr>
      </w:pPr>
      <w:r>
        <w:rPr>
          <w:sz w:val="24"/>
        </w:rPr>
        <w:t>3</w:t>
      </w:r>
      <w:r>
        <w:rPr>
          <w:rFonts w:hint="eastAsia"/>
          <w:sz w:val="24"/>
        </w:rPr>
        <w:t>、</w:t>
      </w:r>
      <w:r>
        <w:rPr>
          <w:rFonts w:ascii="宋体" w:hAnsi="宋体" w:hint="eastAsia"/>
          <w:sz w:val="24"/>
        </w:rPr>
        <w:t>估价对象于价值时点有抵押登记。鉴于本次</w:t>
      </w:r>
      <w:r>
        <w:rPr>
          <w:rFonts w:hint="eastAsia"/>
          <w:color w:val="000000"/>
          <w:sz w:val="24"/>
        </w:rPr>
        <w:t>估价目的</w:t>
      </w:r>
      <w:r>
        <w:rPr>
          <w:rFonts w:hint="eastAsia"/>
          <w:sz w:val="24"/>
        </w:rPr>
        <w:t>是</w:t>
      </w:r>
      <w:r>
        <w:rPr>
          <w:rFonts w:hint="eastAsia"/>
          <w:color w:val="000000"/>
          <w:sz w:val="24"/>
        </w:rPr>
        <w:t>为人民法院确定财产处置参考价提供参考依据，原先的担保物权及其他法定优先受偿权，会因处置而消失，因此，本次估价不考虑估价对象原有担保物权和其他法定优先受偿权情况，</w:t>
      </w:r>
      <w:r>
        <w:rPr>
          <w:rFonts w:hint="eastAsia"/>
          <w:sz w:val="24"/>
        </w:rPr>
        <w:t>本次估价假定于价值时点尚未发生上述影响因素</w:t>
      </w:r>
      <w:r>
        <w:rPr>
          <w:rFonts w:hint="eastAsia"/>
          <w:color w:val="000000"/>
          <w:sz w:val="24"/>
        </w:rPr>
        <w:t>。</w:t>
      </w:r>
    </w:p>
    <w:p w:rsidR="00473DDF" w:rsidRDefault="00473DDF">
      <w:pPr>
        <w:pStyle w:val="PlainText"/>
        <w:spacing w:line="360" w:lineRule="auto"/>
        <w:ind w:firstLineChars="200" w:firstLine="480"/>
        <w:rPr>
          <w:sz w:val="24"/>
        </w:rPr>
      </w:pPr>
      <w:r>
        <w:rPr>
          <w:rFonts w:hint="eastAsia"/>
          <w:sz w:val="24"/>
        </w:rPr>
        <w:t>（四）不相一致假设</w:t>
      </w:r>
    </w:p>
    <w:p w:rsidR="00473DDF" w:rsidRDefault="00473DDF">
      <w:pPr>
        <w:pStyle w:val="PlainText"/>
        <w:spacing w:line="360" w:lineRule="auto"/>
        <w:ind w:firstLineChars="200" w:firstLine="480"/>
        <w:rPr>
          <w:sz w:val="24"/>
        </w:rPr>
      </w:pPr>
      <w:r>
        <w:rPr>
          <w:rFonts w:hint="eastAsia"/>
          <w:sz w:val="24"/>
        </w:rPr>
        <w:t>本次估价无不相一致事项，故本估价报告无不相一致假设。</w:t>
      </w:r>
    </w:p>
    <w:p w:rsidR="00473DDF" w:rsidRDefault="00473DDF">
      <w:pPr>
        <w:pStyle w:val="PlainText"/>
        <w:numPr>
          <w:ilvl w:val="0"/>
          <w:numId w:val="2"/>
        </w:numPr>
        <w:spacing w:line="360" w:lineRule="auto"/>
        <w:ind w:firstLineChars="200" w:firstLine="480"/>
        <w:rPr>
          <w:sz w:val="24"/>
        </w:rPr>
      </w:pPr>
      <w:r>
        <w:rPr>
          <w:rFonts w:hint="eastAsia"/>
          <w:sz w:val="24"/>
        </w:rPr>
        <w:t>依据不足假设</w:t>
      </w:r>
    </w:p>
    <w:p w:rsidR="00473DDF" w:rsidRDefault="00473DDF">
      <w:pPr>
        <w:pStyle w:val="PlainText"/>
        <w:spacing w:line="360" w:lineRule="auto"/>
        <w:ind w:firstLineChars="200" w:firstLine="480"/>
        <w:rPr>
          <w:sz w:val="24"/>
        </w:rPr>
      </w:pPr>
      <w:r>
        <w:rPr>
          <w:rFonts w:hint="eastAsia"/>
          <w:sz w:val="24"/>
        </w:rPr>
        <w:t>本次估价无依据不足事项，故本估价报告无依据不足假设。</w:t>
      </w:r>
    </w:p>
    <w:p w:rsidR="00473DDF" w:rsidRDefault="00473DDF">
      <w:pPr>
        <w:pStyle w:val="PlainText"/>
        <w:spacing w:line="360" w:lineRule="auto"/>
        <w:ind w:firstLine="480"/>
        <w:rPr>
          <w:rFonts w:eastAsia="黑体"/>
          <w:color w:val="000000"/>
          <w:sz w:val="24"/>
        </w:rPr>
      </w:pPr>
      <w:r>
        <w:rPr>
          <w:rFonts w:eastAsia="黑体" w:hAnsi="黑体" w:hint="eastAsia"/>
          <w:sz w:val="24"/>
        </w:rPr>
        <w:t>二、</w:t>
      </w:r>
      <w:r>
        <w:rPr>
          <w:rFonts w:eastAsia="黑体" w:hint="eastAsia"/>
          <w:color w:val="000000"/>
          <w:sz w:val="24"/>
        </w:rPr>
        <w:t>估价报告使用限制</w:t>
      </w:r>
    </w:p>
    <w:p w:rsidR="00473DDF" w:rsidRDefault="00473DDF" w:rsidP="00822204">
      <w:pPr>
        <w:pStyle w:val="PlainText"/>
        <w:spacing w:beforeLines="25" w:afterLines="25" w:line="336" w:lineRule="auto"/>
        <w:ind w:firstLineChars="200" w:firstLine="480"/>
        <w:rPr>
          <w:rFonts w:hAnsi="宋体"/>
          <w:sz w:val="24"/>
        </w:rPr>
      </w:pPr>
      <w:r>
        <w:rPr>
          <w:rFonts w:hAnsi="宋体" w:hint="eastAsia"/>
          <w:sz w:val="24"/>
        </w:rPr>
        <w:t>（一）</w:t>
      </w:r>
      <w:r>
        <w:rPr>
          <w:rFonts w:hAnsi="宋体" w:hint="eastAsia"/>
          <w:color w:val="000000"/>
          <w:sz w:val="24"/>
        </w:rPr>
        <w:t>本估价报告使用期限为一年，自出具之日起计算，</w:t>
      </w:r>
      <w:r>
        <w:rPr>
          <w:rFonts w:hAnsi="宋体" w:hint="eastAsia"/>
          <w:sz w:val="24"/>
        </w:rPr>
        <w:t>即</w:t>
      </w:r>
      <w:r>
        <w:rPr>
          <w:rFonts w:hint="eastAsia"/>
          <w:sz w:val="24"/>
        </w:rPr>
        <w:t>自</w:t>
      </w:r>
      <w:r>
        <w:rPr>
          <w:sz w:val="24"/>
        </w:rPr>
        <w:t>2020</w:t>
      </w:r>
      <w:r>
        <w:rPr>
          <w:rFonts w:hint="eastAsia"/>
          <w:sz w:val="24"/>
        </w:rPr>
        <w:t>年</w:t>
      </w:r>
      <w:r>
        <w:rPr>
          <w:sz w:val="24"/>
        </w:rPr>
        <w:t>2</w:t>
      </w:r>
      <w:r>
        <w:rPr>
          <w:rFonts w:hint="eastAsia"/>
          <w:sz w:val="24"/>
        </w:rPr>
        <w:t>月</w:t>
      </w:r>
      <w:r>
        <w:rPr>
          <w:sz w:val="24"/>
        </w:rPr>
        <w:t>13</w:t>
      </w:r>
      <w:r>
        <w:rPr>
          <w:rFonts w:hint="eastAsia"/>
          <w:sz w:val="24"/>
        </w:rPr>
        <w:t>日起至</w:t>
      </w:r>
      <w:r>
        <w:rPr>
          <w:sz w:val="24"/>
        </w:rPr>
        <w:t>2021</w:t>
      </w:r>
      <w:r>
        <w:rPr>
          <w:rFonts w:hint="eastAsia"/>
          <w:sz w:val="24"/>
        </w:rPr>
        <w:t>年</w:t>
      </w:r>
      <w:r>
        <w:rPr>
          <w:sz w:val="24"/>
        </w:rPr>
        <w:t>2</w:t>
      </w:r>
      <w:r>
        <w:rPr>
          <w:rFonts w:hint="eastAsia"/>
          <w:sz w:val="24"/>
        </w:rPr>
        <w:t>月</w:t>
      </w:r>
      <w:r>
        <w:rPr>
          <w:sz w:val="24"/>
        </w:rPr>
        <w:t>12</w:t>
      </w:r>
      <w:r>
        <w:rPr>
          <w:rFonts w:hint="eastAsia"/>
          <w:sz w:val="24"/>
        </w:rPr>
        <w:t>日止</w:t>
      </w:r>
      <w:r>
        <w:rPr>
          <w:rFonts w:hAnsi="宋体" w:hint="eastAsia"/>
          <w:sz w:val="24"/>
        </w:rPr>
        <w:t>，超过一年，需重新估价。</w:t>
      </w:r>
    </w:p>
    <w:p w:rsidR="00473DDF" w:rsidRDefault="00473DDF" w:rsidP="00822204">
      <w:pPr>
        <w:pStyle w:val="PlainText"/>
        <w:spacing w:beforeLines="25" w:afterLines="25" w:line="336" w:lineRule="auto"/>
        <w:ind w:firstLineChars="200" w:firstLine="480"/>
        <w:rPr>
          <w:color w:val="000000"/>
          <w:sz w:val="24"/>
        </w:rPr>
      </w:pPr>
      <w:r>
        <w:rPr>
          <w:rFonts w:hint="eastAsia"/>
          <w:color w:val="000000"/>
          <w:sz w:val="24"/>
        </w:rPr>
        <w:t>（二）因财产拍卖（或者变卖）日期与价值时点不一致，估价对象状况或者房地产市场状况发生重大变化，对估价结果产生重大影响的，需重新估价。</w:t>
      </w:r>
    </w:p>
    <w:p w:rsidR="00473DDF" w:rsidRDefault="00473DDF" w:rsidP="00822204">
      <w:pPr>
        <w:pStyle w:val="PlainText"/>
        <w:spacing w:beforeLines="25" w:afterLines="25" w:line="336" w:lineRule="auto"/>
        <w:ind w:firstLineChars="200" w:firstLine="480"/>
        <w:rPr>
          <w:color w:val="000000"/>
          <w:sz w:val="24"/>
        </w:rPr>
      </w:pPr>
      <w:r>
        <w:rPr>
          <w:rFonts w:hint="eastAsia"/>
          <w:color w:val="000000"/>
          <w:sz w:val="24"/>
        </w:rPr>
        <w:t>（三）在</w:t>
      </w:r>
      <w:r>
        <w:rPr>
          <w:rFonts w:hAnsi="宋体" w:hint="eastAsia"/>
          <w:color w:val="000000"/>
          <w:sz w:val="24"/>
        </w:rPr>
        <w:t>估价报告</w:t>
      </w:r>
      <w:r>
        <w:rPr>
          <w:rFonts w:hint="eastAsia"/>
          <w:color w:val="000000"/>
          <w:sz w:val="24"/>
        </w:rPr>
        <w:t>有效期内，估价对象</w:t>
      </w:r>
      <w:r>
        <w:rPr>
          <w:rFonts w:hAnsi="宋体" w:hint="eastAsia"/>
          <w:color w:val="000000"/>
          <w:sz w:val="24"/>
        </w:rPr>
        <w:t>相关估价基础数据发生变更，</w:t>
      </w:r>
      <w:r>
        <w:rPr>
          <w:rFonts w:hAnsi="宋体" w:hint="eastAsia"/>
          <w:sz w:val="24"/>
        </w:rPr>
        <w:t>国家、地方及行业的法规、经济政策发生变化等，不能直接使用本估价报告估价结果的，应重新进行估价。</w:t>
      </w:r>
    </w:p>
    <w:p w:rsidR="00473DDF" w:rsidRDefault="00473DDF" w:rsidP="00822204">
      <w:pPr>
        <w:pStyle w:val="PlainText"/>
        <w:spacing w:beforeLines="25" w:afterLines="25" w:line="336" w:lineRule="auto"/>
        <w:ind w:firstLineChars="200" w:firstLine="480"/>
        <w:rPr>
          <w:color w:val="000000"/>
          <w:sz w:val="24"/>
        </w:rPr>
      </w:pPr>
      <w:r>
        <w:rPr>
          <w:rFonts w:hint="eastAsia"/>
          <w:color w:val="000000"/>
          <w:sz w:val="24"/>
        </w:rPr>
        <w:t>（四）估价委托人或者评估报告使用人应当按照法律规定和评估报告载明的使用范围使用评估报告，违反该规定使用估价报告的，房地产估价机构和注册房地产估价师依法不承担责任。</w:t>
      </w:r>
    </w:p>
    <w:p w:rsidR="00473DDF" w:rsidRDefault="00473DDF" w:rsidP="00822204">
      <w:pPr>
        <w:pStyle w:val="PlainText"/>
        <w:spacing w:beforeLines="25" w:afterLines="25" w:line="336" w:lineRule="auto"/>
        <w:ind w:firstLineChars="200" w:firstLine="480"/>
        <w:rPr>
          <w:color w:val="000000"/>
          <w:sz w:val="24"/>
        </w:rPr>
      </w:pPr>
      <w:r>
        <w:rPr>
          <w:rFonts w:hint="eastAsia"/>
          <w:color w:val="000000"/>
          <w:sz w:val="24"/>
        </w:rPr>
        <w:t>（五）本估价结果不等于估价对象处置可实现的成交价，不应被认为是对估价对象处置成交价的保证。</w:t>
      </w:r>
    </w:p>
    <w:p w:rsidR="00473DDF" w:rsidRDefault="00473DDF" w:rsidP="00822204">
      <w:pPr>
        <w:spacing w:beforeLines="25" w:afterLines="25" w:line="360" w:lineRule="auto"/>
        <w:ind w:firstLineChars="200" w:firstLine="480"/>
        <w:rPr>
          <w:color w:val="000000"/>
          <w:sz w:val="24"/>
        </w:rPr>
      </w:pPr>
      <w:r>
        <w:rPr>
          <w:rFonts w:hint="eastAsia"/>
          <w:color w:val="000000"/>
          <w:sz w:val="24"/>
        </w:rPr>
        <w:t>（六）本</w:t>
      </w:r>
      <w:r>
        <w:rPr>
          <w:rFonts w:hAnsi="宋体" w:hint="eastAsia"/>
          <w:sz w:val="24"/>
        </w:rPr>
        <w:t>估价</w:t>
      </w:r>
      <w:r>
        <w:rPr>
          <w:rFonts w:hint="eastAsia"/>
          <w:color w:val="000000"/>
          <w:sz w:val="24"/>
        </w:rPr>
        <w:t>报告的估价结果是在本次估价特定的估价目的下形成的，不对其他用途和目的负责。若改变用途或估价目的，需另行估价。</w:t>
      </w:r>
    </w:p>
    <w:p w:rsidR="00473DDF" w:rsidRDefault="00473DDF" w:rsidP="00822204">
      <w:pPr>
        <w:spacing w:beforeLines="25" w:afterLines="25" w:line="360" w:lineRule="auto"/>
        <w:ind w:firstLineChars="200" w:firstLine="480"/>
        <w:rPr>
          <w:color w:val="000000"/>
          <w:sz w:val="24"/>
        </w:rPr>
      </w:pPr>
      <w:r>
        <w:rPr>
          <w:rFonts w:hint="eastAsia"/>
          <w:color w:val="000000"/>
          <w:sz w:val="24"/>
        </w:rPr>
        <w:t>（七）</w:t>
      </w:r>
      <w:r>
        <w:rPr>
          <w:rFonts w:ascii="宋体" w:hAnsi="宋体" w:hint="eastAsia"/>
          <w:sz w:val="24"/>
        </w:rPr>
        <w:t>本估价报告仅供估价委托人</w:t>
      </w:r>
      <w:r>
        <w:rPr>
          <w:rFonts w:hint="eastAsia"/>
          <w:color w:val="000000"/>
          <w:sz w:val="24"/>
        </w:rPr>
        <w:t>或者评估报告使用人</w:t>
      </w:r>
      <w:r>
        <w:rPr>
          <w:rFonts w:ascii="宋体" w:hAnsi="宋体" w:hint="eastAsia"/>
          <w:sz w:val="24"/>
        </w:rPr>
        <w:t>使用，未经本估价机构同意，不得向估价委托人和报告审查部门之外的任何单位和个人提供；本估价报告的全部或部分及任何参考资料均不允许在任何公开发表的文件、通告或声明中引用，亦不得以其他任何方式发表于公开媒体上</w:t>
      </w:r>
      <w:r>
        <w:rPr>
          <w:rFonts w:hint="eastAsia"/>
          <w:color w:val="000000"/>
          <w:sz w:val="24"/>
        </w:rPr>
        <w:t>。</w:t>
      </w:r>
    </w:p>
    <w:p w:rsidR="00473DDF" w:rsidRDefault="00473DDF" w:rsidP="00822204">
      <w:pPr>
        <w:spacing w:beforeLines="25" w:afterLines="25" w:line="360" w:lineRule="auto"/>
        <w:ind w:firstLineChars="200" w:firstLine="480"/>
        <w:rPr>
          <w:color w:val="000000"/>
          <w:sz w:val="24"/>
        </w:rPr>
      </w:pPr>
      <w:r>
        <w:rPr>
          <w:rFonts w:hint="eastAsia"/>
          <w:color w:val="000000"/>
          <w:sz w:val="24"/>
        </w:rPr>
        <w:t>（八）</w:t>
      </w:r>
      <w:r>
        <w:rPr>
          <w:rFonts w:ascii="宋体" w:hAnsi="宋体" w:hint="eastAsia"/>
          <w:sz w:val="24"/>
        </w:rPr>
        <w:t>本估价报告必须完整使用方为有效，对仅使用本估价报告中部分内容而可能导致的损失，本评估公司不承担责任</w:t>
      </w:r>
      <w:r>
        <w:rPr>
          <w:rFonts w:hint="eastAsia"/>
          <w:color w:val="000000"/>
          <w:sz w:val="24"/>
        </w:rPr>
        <w:t>。</w:t>
      </w:r>
    </w:p>
    <w:p w:rsidR="00473DDF" w:rsidRDefault="00473DDF" w:rsidP="00822204">
      <w:pPr>
        <w:spacing w:beforeLines="25" w:afterLines="25" w:line="336" w:lineRule="auto"/>
        <w:ind w:firstLineChars="200" w:firstLine="480"/>
        <w:rPr>
          <w:rFonts w:ascii="宋体"/>
          <w:sz w:val="24"/>
        </w:rPr>
      </w:pPr>
      <w:r>
        <w:rPr>
          <w:rFonts w:ascii="宋体" w:hAnsi="宋体" w:hint="eastAsia"/>
          <w:sz w:val="24"/>
        </w:rPr>
        <w:t>（九）本估价报告必须经本估价机构加盖公章、注册房地产估价师签字后方可使用，本估价机构仅对本估价报告的原件承担责任，对任何形式的复制件概不认可且不承担责任。</w:t>
      </w:r>
    </w:p>
    <w:p w:rsidR="00473DDF" w:rsidRDefault="00473DDF" w:rsidP="00822204">
      <w:pPr>
        <w:spacing w:beforeLines="25" w:afterLines="25" w:line="360" w:lineRule="auto"/>
        <w:ind w:firstLineChars="200" w:firstLine="480"/>
        <w:rPr>
          <w:color w:val="000000"/>
          <w:sz w:val="24"/>
        </w:rPr>
      </w:pPr>
      <w:r>
        <w:rPr>
          <w:rFonts w:hint="eastAsia"/>
          <w:sz w:val="24"/>
        </w:rPr>
        <w:t>（十）</w:t>
      </w:r>
      <w:r>
        <w:rPr>
          <w:rFonts w:hint="eastAsia"/>
          <w:color w:val="000000"/>
          <w:sz w:val="24"/>
        </w:rPr>
        <w:t>本估价报告由辽宁房信房地产土地资产评估有限公司负责解释。</w:t>
      </w:r>
    </w:p>
    <w:p w:rsidR="00473DDF" w:rsidRDefault="00473DDF" w:rsidP="00822204">
      <w:pPr>
        <w:spacing w:beforeLines="25" w:afterLines="25" w:line="360" w:lineRule="auto"/>
        <w:ind w:firstLineChars="200" w:firstLine="420"/>
        <w:rPr>
          <w:color w:val="000000"/>
          <w:szCs w:val="21"/>
        </w:rPr>
      </w:pPr>
      <w:r>
        <w:rPr>
          <w:color w:val="000000"/>
          <w:szCs w:val="21"/>
        </w:rPr>
        <w:br w:type="page"/>
      </w:r>
    </w:p>
    <w:p w:rsidR="00473DDF" w:rsidRDefault="00473DDF">
      <w:pPr>
        <w:pStyle w:val="Heading1"/>
        <w:spacing w:before="0" w:after="0" w:line="360" w:lineRule="auto"/>
        <w:jc w:val="center"/>
        <w:rPr>
          <w:rFonts w:eastAsia="黑体"/>
          <w:b w:val="0"/>
          <w:color w:val="000000"/>
          <w:sz w:val="36"/>
          <w:szCs w:val="36"/>
        </w:rPr>
      </w:pPr>
      <w:bookmarkStart w:id="2" w:name="_Toc32499180"/>
      <w:r>
        <w:rPr>
          <w:rFonts w:eastAsia="黑体" w:hint="eastAsia"/>
          <w:b w:val="0"/>
          <w:color w:val="000000"/>
          <w:sz w:val="36"/>
          <w:szCs w:val="36"/>
        </w:rPr>
        <w:t>估价结果报告</w:t>
      </w:r>
      <w:bookmarkEnd w:id="2"/>
    </w:p>
    <w:p w:rsidR="00473DDF" w:rsidRDefault="00473DDF" w:rsidP="00822204">
      <w:pPr>
        <w:pStyle w:val="Heading2"/>
        <w:spacing w:beforeLines="25" w:afterLines="25" w:line="360" w:lineRule="auto"/>
        <w:ind w:firstLineChars="200" w:firstLine="480"/>
        <w:rPr>
          <w:rFonts w:ascii="Times New Roman" w:hAnsi="Times New Roman"/>
          <w:b w:val="0"/>
          <w:color w:val="000000"/>
          <w:sz w:val="24"/>
          <w:szCs w:val="24"/>
        </w:rPr>
      </w:pPr>
      <w:bookmarkStart w:id="3" w:name="_Toc32499181"/>
      <w:r>
        <w:rPr>
          <w:rFonts w:ascii="Times New Roman" w:hAnsi="Times New Roman" w:hint="eastAsia"/>
          <w:b w:val="0"/>
          <w:color w:val="000000"/>
          <w:sz w:val="24"/>
          <w:szCs w:val="24"/>
        </w:rPr>
        <w:t>一、估价委托人</w:t>
      </w:r>
      <w:bookmarkEnd w:id="3"/>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hint="eastAsia"/>
          <w:color w:val="000000"/>
          <w:sz w:val="24"/>
        </w:rPr>
        <w:t>名称：</w:t>
      </w:r>
      <w:r>
        <w:rPr>
          <w:rFonts w:ascii="Times New Roman" w:hAnsi="宋体" w:hint="eastAsia"/>
          <w:sz w:val="24"/>
        </w:rPr>
        <w:t>丹东市中级人民法院</w:t>
      </w:r>
    </w:p>
    <w:p w:rsidR="00473DDF" w:rsidRDefault="00473DDF" w:rsidP="00822204">
      <w:pPr>
        <w:pStyle w:val="Heading2"/>
        <w:spacing w:beforeLines="25" w:afterLines="25" w:line="360" w:lineRule="auto"/>
        <w:ind w:firstLineChars="200" w:firstLine="480"/>
        <w:rPr>
          <w:rFonts w:ascii="Times New Roman" w:hAnsi="Times New Roman"/>
          <w:b w:val="0"/>
          <w:color w:val="000000"/>
          <w:sz w:val="24"/>
          <w:szCs w:val="24"/>
        </w:rPr>
      </w:pPr>
      <w:bookmarkStart w:id="4" w:name="_Toc32499182"/>
      <w:r>
        <w:rPr>
          <w:rFonts w:ascii="Times New Roman" w:hAnsi="Times New Roman" w:hint="eastAsia"/>
          <w:b w:val="0"/>
          <w:color w:val="000000"/>
          <w:sz w:val="24"/>
          <w:szCs w:val="24"/>
        </w:rPr>
        <w:t>二、估价机构</w:t>
      </w:r>
      <w:bookmarkEnd w:id="4"/>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hint="eastAsia"/>
          <w:color w:val="000000"/>
          <w:sz w:val="24"/>
        </w:rPr>
        <w:t>估价机构名称：辽宁房信房地产土地资产评估有限公司</w:t>
      </w:r>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hint="eastAsia"/>
          <w:color w:val="000000"/>
          <w:sz w:val="24"/>
        </w:rPr>
        <w:t>法定代表人（执行事务合伙人）：王东</w:t>
      </w:r>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hint="eastAsia"/>
          <w:color w:val="000000"/>
          <w:sz w:val="24"/>
        </w:rPr>
        <w:t>住所：沈阳市沈河区沈州路</w:t>
      </w:r>
      <w:r>
        <w:rPr>
          <w:rFonts w:ascii="Times New Roman" w:hAnsi="Times New Roman"/>
          <w:color w:val="000000"/>
          <w:sz w:val="24"/>
        </w:rPr>
        <w:t>99</w:t>
      </w:r>
      <w:r>
        <w:rPr>
          <w:rFonts w:ascii="Times New Roman" w:hAnsi="Times New Roman" w:hint="eastAsia"/>
          <w:color w:val="000000"/>
          <w:sz w:val="24"/>
        </w:rPr>
        <w:t>号</w:t>
      </w:r>
    </w:p>
    <w:p w:rsidR="00473DDF" w:rsidRDefault="00473DDF" w:rsidP="00822204">
      <w:pPr>
        <w:pStyle w:val="PlainText"/>
        <w:spacing w:beforeLines="25" w:afterLines="25" w:line="360" w:lineRule="auto"/>
        <w:ind w:firstLineChars="200" w:firstLine="480"/>
        <w:rPr>
          <w:rFonts w:ascii="Times New Roman" w:hAnsi="Times New Roman"/>
          <w:sz w:val="24"/>
        </w:rPr>
      </w:pPr>
      <w:r>
        <w:rPr>
          <w:rFonts w:ascii="Times New Roman" w:hAnsi="Times New Roman" w:hint="eastAsia"/>
          <w:sz w:val="24"/>
        </w:rPr>
        <w:t>统一社会信用代码：</w:t>
      </w:r>
      <w:r>
        <w:rPr>
          <w:rFonts w:ascii="Times New Roman" w:hAnsi="Times New Roman"/>
          <w:sz w:val="24"/>
        </w:rPr>
        <w:t>91210103711143163R</w:t>
      </w:r>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hint="eastAsia"/>
          <w:color w:val="000000"/>
          <w:sz w:val="24"/>
        </w:rPr>
        <w:t>备案等级：壹级</w:t>
      </w:r>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hint="eastAsia"/>
          <w:color w:val="000000"/>
          <w:sz w:val="24"/>
        </w:rPr>
        <w:t>证书编号：第</w:t>
      </w:r>
      <w:r>
        <w:rPr>
          <w:rFonts w:ascii="Times New Roman" w:hAnsi="Times New Roman"/>
          <w:color w:val="000000"/>
          <w:sz w:val="24"/>
        </w:rPr>
        <w:t>00010514</w:t>
      </w:r>
      <w:r>
        <w:rPr>
          <w:rFonts w:ascii="Times New Roman" w:hAnsi="Times New Roman" w:hint="eastAsia"/>
          <w:color w:val="000000"/>
          <w:sz w:val="24"/>
        </w:rPr>
        <w:t>号</w:t>
      </w:r>
    </w:p>
    <w:p w:rsidR="00473DDF" w:rsidRDefault="00473DDF" w:rsidP="00822204">
      <w:pPr>
        <w:pStyle w:val="Heading2"/>
        <w:spacing w:beforeLines="50" w:afterLines="50" w:line="360" w:lineRule="auto"/>
        <w:ind w:firstLineChars="200" w:firstLine="480"/>
        <w:rPr>
          <w:rFonts w:ascii="Times New Roman" w:hAnsi="Times New Roman"/>
          <w:b w:val="0"/>
          <w:color w:val="000000"/>
          <w:sz w:val="24"/>
          <w:szCs w:val="24"/>
        </w:rPr>
      </w:pPr>
      <w:bookmarkStart w:id="5" w:name="_Toc32499183"/>
      <w:r>
        <w:rPr>
          <w:rFonts w:ascii="Times New Roman" w:hAnsi="Times New Roman" w:hint="eastAsia"/>
          <w:b w:val="0"/>
          <w:color w:val="000000"/>
          <w:sz w:val="24"/>
          <w:szCs w:val="24"/>
        </w:rPr>
        <w:t>三、估价目的</w:t>
      </w:r>
      <w:bookmarkEnd w:id="5"/>
    </w:p>
    <w:p w:rsidR="00473DDF" w:rsidRDefault="00473DDF" w:rsidP="00822204">
      <w:pPr>
        <w:pStyle w:val="PlainText"/>
        <w:tabs>
          <w:tab w:val="left" w:pos="1155"/>
        </w:tabs>
        <w:spacing w:beforeLines="25" w:afterLines="25" w:line="360" w:lineRule="auto"/>
        <w:ind w:firstLineChars="200" w:firstLine="480"/>
        <w:rPr>
          <w:rFonts w:ascii="Times New Roman" w:hAnsi="Times New Roman"/>
          <w:color w:val="000000"/>
          <w:sz w:val="24"/>
        </w:rPr>
      </w:pPr>
      <w:r>
        <w:rPr>
          <w:rFonts w:ascii="Times New Roman" w:hAnsi="Times New Roman" w:hint="eastAsia"/>
          <w:color w:val="000000"/>
          <w:sz w:val="24"/>
        </w:rPr>
        <w:t>为人民法院确定财产处置参考价提供参考依据。</w:t>
      </w:r>
    </w:p>
    <w:p w:rsidR="00473DDF" w:rsidRDefault="00473DDF" w:rsidP="00822204">
      <w:pPr>
        <w:pStyle w:val="Heading2"/>
        <w:spacing w:beforeLines="25" w:afterLines="25" w:line="360" w:lineRule="auto"/>
        <w:ind w:firstLineChars="200" w:firstLine="480"/>
        <w:rPr>
          <w:rFonts w:ascii="Times New Roman" w:hAnsi="Times New Roman"/>
          <w:b w:val="0"/>
          <w:color w:val="000000"/>
          <w:sz w:val="24"/>
          <w:szCs w:val="24"/>
        </w:rPr>
      </w:pPr>
      <w:bookmarkStart w:id="6" w:name="_Toc32499184"/>
      <w:r>
        <w:rPr>
          <w:rFonts w:ascii="Times New Roman" w:hAnsi="Times New Roman" w:hint="eastAsia"/>
          <w:b w:val="0"/>
          <w:color w:val="000000"/>
          <w:sz w:val="24"/>
          <w:szCs w:val="24"/>
        </w:rPr>
        <w:t>四、估价对象</w:t>
      </w:r>
      <w:bookmarkEnd w:id="6"/>
    </w:p>
    <w:p w:rsidR="00473DDF" w:rsidRDefault="00473DDF" w:rsidP="00822204">
      <w:pPr>
        <w:pStyle w:val="PlainText"/>
        <w:spacing w:beforeLines="25" w:afterLines="25" w:line="360" w:lineRule="auto"/>
        <w:ind w:firstLineChars="200" w:firstLine="480"/>
        <w:rPr>
          <w:rFonts w:ascii="Times New Roman" w:hAnsi="Times New Roman"/>
          <w:sz w:val="24"/>
        </w:rPr>
      </w:pPr>
      <w:r>
        <w:rPr>
          <w:rFonts w:ascii="Times New Roman" w:hAnsi="Times New Roman" w:hint="eastAsia"/>
          <w:sz w:val="24"/>
        </w:rPr>
        <w:t>估价对象范围：</w:t>
      </w:r>
      <w:r>
        <w:rPr>
          <w:rFonts w:hAnsi="宋体" w:hint="eastAsia"/>
          <w:sz w:val="24"/>
        </w:rPr>
        <w:t>卓国彪、尹敬善名下的</w:t>
      </w:r>
      <w:r>
        <w:rPr>
          <w:rFonts w:ascii="Times New Roman" w:hAnsi="Times New Roman" w:hint="eastAsia"/>
          <w:sz w:val="24"/>
        </w:rPr>
        <w:t>位于丹东市振兴区滨江中路</w:t>
      </w:r>
      <w:r>
        <w:rPr>
          <w:rFonts w:ascii="Times New Roman" w:hAnsi="Times New Roman"/>
          <w:sz w:val="24"/>
        </w:rPr>
        <w:t>132</w:t>
      </w:r>
      <w:r>
        <w:rPr>
          <w:rFonts w:ascii="Times New Roman" w:hAnsi="Times New Roman" w:hint="eastAsia"/>
          <w:sz w:val="24"/>
        </w:rPr>
        <w:t>号</w:t>
      </w:r>
      <w:r>
        <w:rPr>
          <w:rFonts w:ascii="Times New Roman" w:hAnsi="Times New Roman"/>
          <w:sz w:val="24"/>
        </w:rPr>
        <w:t>2704</w:t>
      </w:r>
      <w:r>
        <w:rPr>
          <w:rFonts w:ascii="Times New Roman" w:hAnsi="Times New Roman" w:hint="eastAsia"/>
          <w:sz w:val="24"/>
        </w:rPr>
        <w:t>室</w:t>
      </w:r>
      <w:r>
        <w:rPr>
          <w:rFonts w:hAnsi="宋体" w:hint="eastAsia"/>
          <w:sz w:val="24"/>
        </w:rPr>
        <w:t>“太阳世纪广场”小区</w:t>
      </w:r>
      <w:r>
        <w:rPr>
          <w:rFonts w:ascii="Times New Roman" w:hAnsi="Times New Roman" w:hint="eastAsia"/>
          <w:sz w:val="24"/>
        </w:rPr>
        <w:t>的一套住宅房地产，建筑面积为</w:t>
      </w:r>
      <w:r>
        <w:rPr>
          <w:rFonts w:ascii="Times New Roman" w:hAnsi="Times New Roman"/>
          <w:sz w:val="24"/>
        </w:rPr>
        <w:t>228.24</w:t>
      </w:r>
      <w:r>
        <w:rPr>
          <w:rFonts w:ascii="Times New Roman" w:hAnsi="Times New Roman" w:hint="eastAsia"/>
          <w:sz w:val="24"/>
        </w:rPr>
        <w:t>平方米。本次</w:t>
      </w:r>
      <w:r>
        <w:rPr>
          <w:rFonts w:hint="eastAsia"/>
          <w:color w:val="000000"/>
          <w:sz w:val="24"/>
        </w:rPr>
        <w:t>估价</w:t>
      </w:r>
      <w:r>
        <w:rPr>
          <w:rFonts w:ascii="Times New Roman" w:hAnsi="Times New Roman" w:hint="eastAsia"/>
          <w:sz w:val="24"/>
        </w:rPr>
        <w:t>的市场价值，包括估价对象建筑物及土地的市场价值，包括估价对象内外不可移动的装饰装修及宗地内基础配套设施价值，不包括估价对象</w:t>
      </w:r>
      <w:r>
        <w:rPr>
          <w:rFonts w:hAnsi="宋体" w:hint="eastAsia"/>
          <w:sz w:val="24"/>
        </w:rPr>
        <w:t>室内可移动的或者拆装后不影响建筑物正常使用的电器、设备、家俱等动产价值，不包括</w:t>
      </w:r>
      <w:r>
        <w:rPr>
          <w:rFonts w:hint="eastAsia"/>
          <w:sz w:val="24"/>
        </w:rPr>
        <w:t>其他特殊高档装修价值，</w:t>
      </w:r>
      <w:r>
        <w:rPr>
          <w:rFonts w:hAnsi="宋体" w:hint="eastAsia"/>
          <w:sz w:val="24"/>
        </w:rPr>
        <w:t>不包括</w:t>
      </w:r>
      <w:r>
        <w:rPr>
          <w:rFonts w:ascii="Times New Roman" w:hAnsi="Times New Roman" w:hint="eastAsia"/>
          <w:sz w:val="24"/>
        </w:rPr>
        <w:t>与估价对象有关的债权债务、特许经营权等其他财产或权益价值。</w:t>
      </w:r>
    </w:p>
    <w:p w:rsidR="00473DDF" w:rsidRDefault="00473DDF">
      <w:pPr>
        <w:autoSpaceDN w:val="0"/>
        <w:jc w:val="center"/>
        <w:textAlignment w:val="center"/>
        <w:rPr>
          <w:rFonts w:ascii="黑体" w:eastAsia="黑体" w:hAnsi="黑体"/>
          <w:color w:val="000000"/>
          <w:sz w:val="28"/>
        </w:rPr>
      </w:pPr>
    </w:p>
    <w:p w:rsidR="00473DDF" w:rsidRDefault="00473DDF">
      <w:pPr>
        <w:autoSpaceDN w:val="0"/>
        <w:jc w:val="center"/>
        <w:textAlignment w:val="center"/>
        <w:rPr>
          <w:rFonts w:ascii="黑体" w:eastAsia="黑体" w:hAnsi="黑体"/>
          <w:color w:val="000000"/>
          <w:sz w:val="28"/>
        </w:rPr>
        <w:sectPr w:rsidR="00473DDF">
          <w:footerReference w:type="default" r:id="rId16"/>
          <w:pgSz w:w="11907" w:h="16840"/>
          <w:pgMar w:top="1440" w:right="1797" w:bottom="1440" w:left="1797" w:header="851" w:footer="851" w:gutter="0"/>
          <w:pgNumType w:start="1"/>
          <w:cols w:space="720"/>
          <w:docGrid w:linePitch="312"/>
        </w:sectPr>
      </w:pPr>
    </w:p>
    <w:tbl>
      <w:tblPr>
        <w:tblW w:w="14709" w:type="dxa"/>
        <w:jc w:val="center"/>
        <w:tblLayout w:type="fixed"/>
        <w:tblCellMar>
          <w:left w:w="15" w:type="dxa"/>
          <w:right w:w="15" w:type="dxa"/>
        </w:tblCellMar>
        <w:tblLook w:val="0000"/>
      </w:tblPr>
      <w:tblGrid>
        <w:gridCol w:w="429"/>
        <w:gridCol w:w="1065"/>
        <w:gridCol w:w="1308"/>
        <w:gridCol w:w="690"/>
        <w:gridCol w:w="1041"/>
        <w:gridCol w:w="704"/>
        <w:gridCol w:w="1022"/>
        <w:gridCol w:w="512"/>
        <w:gridCol w:w="677"/>
        <w:gridCol w:w="561"/>
        <w:gridCol w:w="1095"/>
        <w:gridCol w:w="3539"/>
        <w:gridCol w:w="961"/>
        <w:gridCol w:w="1105"/>
      </w:tblGrid>
      <w:tr w:rsidR="00473DDF">
        <w:trPr>
          <w:trHeight w:val="539"/>
          <w:jc w:val="center"/>
        </w:trPr>
        <w:tc>
          <w:tcPr>
            <w:tcW w:w="14709" w:type="dxa"/>
            <w:gridSpan w:val="14"/>
            <w:tcBorders>
              <w:bottom w:val="single" w:sz="8" w:space="0" w:color="000000"/>
            </w:tcBorders>
            <w:vAlign w:val="center"/>
          </w:tcPr>
          <w:p w:rsidR="00473DDF" w:rsidRDefault="00473DDF">
            <w:pPr>
              <w:autoSpaceDN w:val="0"/>
              <w:jc w:val="center"/>
              <w:textAlignment w:val="center"/>
              <w:rPr>
                <w:rFonts w:ascii="黑体" w:eastAsia="黑体" w:hAnsi="黑体"/>
                <w:color w:val="000000"/>
                <w:sz w:val="28"/>
              </w:rPr>
            </w:pPr>
            <w:r>
              <w:rPr>
                <w:rFonts w:ascii="黑体" w:eastAsia="黑体" w:hAnsi="黑体" w:hint="eastAsia"/>
                <w:color w:val="000000"/>
                <w:sz w:val="28"/>
              </w:rPr>
              <w:t>估价对象基本状况表</w:t>
            </w:r>
          </w:p>
        </w:tc>
      </w:tr>
      <w:tr w:rsidR="00473DDF">
        <w:trPr>
          <w:trHeight w:val="522"/>
          <w:jc w:val="center"/>
        </w:trPr>
        <w:tc>
          <w:tcPr>
            <w:tcW w:w="429" w:type="dxa"/>
            <w:vMerge w:val="restart"/>
            <w:tcBorders>
              <w:top w:val="single" w:sz="8" w:space="0" w:color="000000"/>
              <w:left w:val="single" w:sz="8" w:space="0" w:color="000000"/>
              <w:right w:val="single" w:sz="4" w:space="0" w:color="000000"/>
            </w:tcBorders>
            <w:vAlign w:val="center"/>
          </w:tcPr>
          <w:p w:rsidR="00473DDF" w:rsidRDefault="00473DDF">
            <w:pPr>
              <w:autoSpaceDN w:val="0"/>
              <w:jc w:val="center"/>
              <w:textAlignment w:val="center"/>
              <w:rPr>
                <w:rFonts w:ascii="黑体" w:eastAsia="黑体" w:hAnsi="黑体"/>
                <w:color w:val="000000"/>
                <w:szCs w:val="21"/>
              </w:rPr>
            </w:pPr>
            <w:r>
              <w:rPr>
                <w:rFonts w:ascii="黑体" w:eastAsia="黑体" w:hAnsi="黑体" w:hint="eastAsia"/>
                <w:color w:val="000000"/>
                <w:szCs w:val="21"/>
              </w:rPr>
              <w:t>实物状况</w:t>
            </w:r>
          </w:p>
        </w:tc>
        <w:tc>
          <w:tcPr>
            <w:tcW w:w="1065" w:type="dxa"/>
            <w:tcBorders>
              <w:top w:val="single" w:sz="8" w:space="0" w:color="000000"/>
              <w:left w:val="single" w:sz="4" w:space="0" w:color="000000"/>
              <w:bottom w:val="single" w:sz="4" w:space="0" w:color="000000"/>
              <w:right w:val="single" w:sz="4" w:space="0" w:color="auto"/>
            </w:tcBorders>
            <w:vAlign w:val="center"/>
          </w:tcPr>
          <w:p w:rsidR="00473DDF" w:rsidRDefault="00473DDF">
            <w:pPr>
              <w:autoSpaceDN w:val="0"/>
              <w:jc w:val="center"/>
              <w:textAlignment w:val="center"/>
              <w:rPr>
                <w:rFonts w:ascii="黑体" w:eastAsia="黑体" w:hAnsi="黑体"/>
                <w:color w:val="000000"/>
                <w:szCs w:val="21"/>
              </w:rPr>
            </w:pPr>
            <w:r>
              <w:rPr>
                <w:rFonts w:ascii="黑体" w:eastAsia="黑体" w:hAnsi="黑体" w:hint="eastAsia"/>
                <w:color w:val="000000"/>
                <w:szCs w:val="21"/>
              </w:rPr>
              <w:t>小区名称</w:t>
            </w:r>
          </w:p>
        </w:tc>
        <w:tc>
          <w:tcPr>
            <w:tcW w:w="1308" w:type="dxa"/>
            <w:tcBorders>
              <w:top w:val="single" w:sz="8" w:space="0" w:color="000000"/>
              <w:left w:val="single" w:sz="4" w:space="0" w:color="auto"/>
              <w:bottom w:val="single" w:sz="4" w:space="0" w:color="000000"/>
              <w:right w:val="single" w:sz="4" w:space="0" w:color="auto"/>
            </w:tcBorders>
            <w:vAlign w:val="center"/>
          </w:tcPr>
          <w:p w:rsidR="00473DDF" w:rsidRDefault="00473DDF">
            <w:pPr>
              <w:autoSpaceDN w:val="0"/>
              <w:jc w:val="center"/>
              <w:textAlignment w:val="center"/>
              <w:rPr>
                <w:rFonts w:ascii="黑体" w:eastAsia="黑体" w:hAnsi="黑体"/>
                <w:color w:val="000000"/>
                <w:sz w:val="20"/>
              </w:rPr>
            </w:pPr>
            <w:r>
              <w:rPr>
                <w:rFonts w:ascii="黑体" w:eastAsia="黑体" w:hAnsi="黑体" w:hint="eastAsia"/>
                <w:color w:val="000000"/>
                <w:sz w:val="20"/>
              </w:rPr>
              <w:t>房屋所有权证号</w:t>
            </w:r>
          </w:p>
        </w:tc>
        <w:tc>
          <w:tcPr>
            <w:tcW w:w="690" w:type="dxa"/>
            <w:tcBorders>
              <w:top w:val="single" w:sz="8" w:space="0" w:color="000000"/>
              <w:left w:val="single" w:sz="4" w:space="0" w:color="auto"/>
              <w:bottom w:val="single" w:sz="4" w:space="0" w:color="000000"/>
              <w:right w:val="single" w:sz="4" w:space="0" w:color="000000"/>
            </w:tcBorders>
            <w:vAlign w:val="center"/>
          </w:tcPr>
          <w:p w:rsidR="00473DDF" w:rsidRDefault="00473DDF">
            <w:pPr>
              <w:autoSpaceDN w:val="0"/>
              <w:jc w:val="center"/>
              <w:textAlignment w:val="center"/>
              <w:rPr>
                <w:rFonts w:ascii="黑体" w:eastAsia="黑体" w:hAnsi="黑体"/>
                <w:color w:val="000000"/>
                <w:szCs w:val="21"/>
              </w:rPr>
            </w:pPr>
            <w:r>
              <w:rPr>
                <w:rFonts w:ascii="黑体" w:eastAsia="黑体" w:hAnsi="黑体" w:hint="eastAsia"/>
                <w:color w:val="000000"/>
                <w:sz w:val="20"/>
              </w:rPr>
              <w:t>权利人</w:t>
            </w:r>
          </w:p>
        </w:tc>
        <w:tc>
          <w:tcPr>
            <w:tcW w:w="1041" w:type="dxa"/>
            <w:tcBorders>
              <w:top w:val="single" w:sz="8" w:space="0" w:color="000000"/>
              <w:left w:val="single" w:sz="4" w:space="0" w:color="000000"/>
              <w:bottom w:val="single" w:sz="4" w:space="0" w:color="000000"/>
              <w:right w:val="single" w:sz="4" w:space="0" w:color="000000"/>
            </w:tcBorders>
            <w:vAlign w:val="center"/>
          </w:tcPr>
          <w:p w:rsidR="00473DDF" w:rsidRDefault="00473DDF">
            <w:pPr>
              <w:autoSpaceDN w:val="0"/>
              <w:jc w:val="center"/>
              <w:textAlignment w:val="center"/>
              <w:rPr>
                <w:rFonts w:ascii="黑体" w:eastAsia="黑体" w:hAnsi="黑体"/>
                <w:color w:val="000000"/>
                <w:szCs w:val="21"/>
              </w:rPr>
            </w:pPr>
            <w:r>
              <w:rPr>
                <w:rFonts w:ascii="黑体" w:eastAsia="黑体" w:hAnsi="黑体" w:hint="eastAsia"/>
                <w:color w:val="000000"/>
                <w:szCs w:val="21"/>
              </w:rPr>
              <w:t>坐落</w:t>
            </w:r>
          </w:p>
        </w:tc>
        <w:tc>
          <w:tcPr>
            <w:tcW w:w="704" w:type="dxa"/>
            <w:tcBorders>
              <w:top w:val="single" w:sz="8" w:space="0" w:color="000000"/>
              <w:left w:val="single" w:sz="4" w:space="0" w:color="000000"/>
              <w:bottom w:val="single" w:sz="4" w:space="0" w:color="000000"/>
              <w:right w:val="single" w:sz="4" w:space="0" w:color="000000"/>
            </w:tcBorders>
            <w:vAlign w:val="center"/>
          </w:tcPr>
          <w:p w:rsidR="00473DDF" w:rsidRDefault="00473DDF">
            <w:pPr>
              <w:autoSpaceDN w:val="0"/>
              <w:jc w:val="center"/>
              <w:textAlignment w:val="center"/>
              <w:rPr>
                <w:rFonts w:ascii="黑体" w:eastAsia="黑体" w:hAnsi="黑体"/>
                <w:color w:val="000000"/>
                <w:szCs w:val="21"/>
              </w:rPr>
            </w:pPr>
            <w:r>
              <w:rPr>
                <w:rFonts w:ascii="黑体" w:eastAsia="黑体" w:hAnsi="黑体" w:hint="eastAsia"/>
                <w:color w:val="000000"/>
                <w:szCs w:val="21"/>
              </w:rPr>
              <w:t>层数</w:t>
            </w:r>
          </w:p>
        </w:tc>
        <w:tc>
          <w:tcPr>
            <w:tcW w:w="1022" w:type="dxa"/>
            <w:tcBorders>
              <w:top w:val="single" w:sz="8" w:space="0" w:color="000000"/>
              <w:left w:val="single" w:sz="4" w:space="0" w:color="000000"/>
              <w:bottom w:val="single" w:sz="4" w:space="0" w:color="000000"/>
              <w:right w:val="single" w:sz="4" w:space="0" w:color="000000"/>
            </w:tcBorders>
            <w:vAlign w:val="center"/>
          </w:tcPr>
          <w:p w:rsidR="00473DDF" w:rsidRDefault="00473DDF">
            <w:pPr>
              <w:autoSpaceDN w:val="0"/>
              <w:jc w:val="center"/>
              <w:textAlignment w:val="center"/>
              <w:rPr>
                <w:rFonts w:ascii="黑体" w:eastAsia="黑体" w:hAnsi="黑体"/>
                <w:color w:val="000000"/>
                <w:szCs w:val="21"/>
              </w:rPr>
            </w:pPr>
            <w:r>
              <w:rPr>
                <w:rFonts w:ascii="黑体" w:eastAsia="黑体" w:hAnsi="黑体" w:hint="eastAsia"/>
                <w:color w:val="000000"/>
                <w:szCs w:val="21"/>
              </w:rPr>
              <w:t>建筑面积（平方米）</w:t>
            </w:r>
          </w:p>
        </w:tc>
        <w:tc>
          <w:tcPr>
            <w:tcW w:w="512" w:type="dxa"/>
            <w:tcBorders>
              <w:top w:val="single" w:sz="8" w:space="0" w:color="000000"/>
              <w:left w:val="single" w:sz="4" w:space="0" w:color="000000"/>
              <w:bottom w:val="single" w:sz="4" w:space="0" w:color="000000"/>
              <w:right w:val="single" w:sz="4" w:space="0" w:color="000000"/>
            </w:tcBorders>
            <w:vAlign w:val="center"/>
          </w:tcPr>
          <w:p w:rsidR="00473DDF" w:rsidRDefault="00473DDF">
            <w:pPr>
              <w:autoSpaceDN w:val="0"/>
              <w:jc w:val="center"/>
              <w:textAlignment w:val="center"/>
              <w:rPr>
                <w:rFonts w:ascii="黑体" w:eastAsia="黑体" w:hAnsi="黑体"/>
                <w:color w:val="000000"/>
                <w:szCs w:val="21"/>
              </w:rPr>
            </w:pPr>
            <w:r>
              <w:rPr>
                <w:rFonts w:ascii="黑体" w:eastAsia="黑体" w:hAnsi="黑体" w:hint="eastAsia"/>
                <w:color w:val="000000"/>
                <w:szCs w:val="21"/>
              </w:rPr>
              <w:t>用途</w:t>
            </w:r>
          </w:p>
        </w:tc>
        <w:tc>
          <w:tcPr>
            <w:tcW w:w="677" w:type="dxa"/>
            <w:tcBorders>
              <w:top w:val="single" w:sz="8" w:space="0" w:color="000000"/>
              <w:left w:val="single" w:sz="4" w:space="0" w:color="000000"/>
              <w:bottom w:val="single" w:sz="4" w:space="0" w:color="000000"/>
              <w:right w:val="single" w:sz="4" w:space="0" w:color="000000"/>
            </w:tcBorders>
            <w:vAlign w:val="center"/>
          </w:tcPr>
          <w:p w:rsidR="00473DDF" w:rsidRDefault="00473DDF">
            <w:pPr>
              <w:autoSpaceDN w:val="0"/>
              <w:jc w:val="center"/>
              <w:textAlignment w:val="center"/>
              <w:rPr>
                <w:rFonts w:ascii="黑体" w:eastAsia="黑体" w:hAnsi="黑体"/>
                <w:color w:val="000000"/>
                <w:szCs w:val="21"/>
              </w:rPr>
            </w:pPr>
            <w:r>
              <w:rPr>
                <w:rFonts w:ascii="黑体" w:eastAsia="黑体" w:hAnsi="黑体" w:hint="eastAsia"/>
                <w:color w:val="000000"/>
                <w:szCs w:val="21"/>
              </w:rPr>
              <w:t>建成时间</w:t>
            </w:r>
          </w:p>
        </w:tc>
        <w:tc>
          <w:tcPr>
            <w:tcW w:w="561" w:type="dxa"/>
            <w:tcBorders>
              <w:top w:val="single" w:sz="8" w:space="0" w:color="000000"/>
              <w:left w:val="single" w:sz="4" w:space="0" w:color="000000"/>
              <w:bottom w:val="single" w:sz="4" w:space="0" w:color="000000"/>
              <w:right w:val="single" w:sz="4" w:space="0" w:color="000000"/>
            </w:tcBorders>
            <w:vAlign w:val="center"/>
          </w:tcPr>
          <w:p w:rsidR="00473DDF" w:rsidRDefault="00473DDF">
            <w:pPr>
              <w:autoSpaceDN w:val="0"/>
              <w:jc w:val="center"/>
              <w:textAlignment w:val="center"/>
              <w:rPr>
                <w:rFonts w:ascii="黑体" w:eastAsia="黑体" w:hAnsi="黑体"/>
                <w:color w:val="000000"/>
                <w:szCs w:val="21"/>
              </w:rPr>
            </w:pPr>
            <w:r>
              <w:rPr>
                <w:rFonts w:ascii="黑体" w:eastAsia="黑体" w:hAnsi="黑体" w:hint="eastAsia"/>
                <w:color w:val="000000"/>
                <w:szCs w:val="21"/>
              </w:rPr>
              <w:t>结构</w:t>
            </w:r>
          </w:p>
        </w:tc>
        <w:tc>
          <w:tcPr>
            <w:tcW w:w="1095" w:type="dxa"/>
            <w:tcBorders>
              <w:top w:val="single" w:sz="8" w:space="0" w:color="000000"/>
              <w:left w:val="single" w:sz="4" w:space="0" w:color="000000"/>
              <w:bottom w:val="single" w:sz="4" w:space="0" w:color="000000"/>
              <w:right w:val="single" w:sz="4" w:space="0" w:color="000000"/>
            </w:tcBorders>
            <w:vAlign w:val="center"/>
          </w:tcPr>
          <w:p w:rsidR="00473DDF" w:rsidRDefault="00473DDF">
            <w:pPr>
              <w:autoSpaceDN w:val="0"/>
              <w:jc w:val="center"/>
              <w:textAlignment w:val="center"/>
              <w:rPr>
                <w:rFonts w:ascii="黑体" w:eastAsia="黑体" w:hAnsi="黑体"/>
                <w:color w:val="000000"/>
                <w:szCs w:val="21"/>
              </w:rPr>
            </w:pPr>
            <w:r>
              <w:rPr>
                <w:rFonts w:ascii="黑体" w:eastAsia="黑体" w:hAnsi="黑体" w:hint="eastAsia"/>
                <w:color w:val="000000"/>
                <w:szCs w:val="21"/>
              </w:rPr>
              <w:t>空间布局</w:t>
            </w:r>
          </w:p>
        </w:tc>
        <w:tc>
          <w:tcPr>
            <w:tcW w:w="3539" w:type="dxa"/>
            <w:tcBorders>
              <w:top w:val="single" w:sz="8" w:space="0" w:color="000000"/>
              <w:left w:val="single" w:sz="4" w:space="0" w:color="000000"/>
              <w:bottom w:val="single" w:sz="4" w:space="0" w:color="000000"/>
              <w:right w:val="single" w:sz="4" w:space="0" w:color="000000"/>
            </w:tcBorders>
            <w:vAlign w:val="center"/>
          </w:tcPr>
          <w:p w:rsidR="00473DDF" w:rsidRDefault="00473DDF">
            <w:pPr>
              <w:autoSpaceDN w:val="0"/>
              <w:jc w:val="center"/>
              <w:textAlignment w:val="center"/>
              <w:rPr>
                <w:rFonts w:ascii="黑体" w:eastAsia="黑体" w:hAnsi="黑体"/>
                <w:color w:val="000000"/>
                <w:szCs w:val="21"/>
              </w:rPr>
            </w:pPr>
            <w:r>
              <w:rPr>
                <w:rFonts w:ascii="黑体" w:eastAsia="黑体" w:hAnsi="黑体" w:hint="eastAsia"/>
                <w:color w:val="000000"/>
                <w:szCs w:val="21"/>
              </w:rPr>
              <w:t>装饰装修</w:t>
            </w:r>
          </w:p>
        </w:tc>
        <w:tc>
          <w:tcPr>
            <w:tcW w:w="961" w:type="dxa"/>
            <w:tcBorders>
              <w:top w:val="single" w:sz="8" w:space="0" w:color="000000"/>
              <w:left w:val="single" w:sz="4" w:space="0" w:color="000000"/>
              <w:bottom w:val="single" w:sz="4" w:space="0" w:color="000000"/>
              <w:right w:val="single" w:sz="4" w:space="0" w:color="000000"/>
            </w:tcBorders>
            <w:vAlign w:val="center"/>
          </w:tcPr>
          <w:p w:rsidR="00473DDF" w:rsidRDefault="00473DDF">
            <w:pPr>
              <w:autoSpaceDN w:val="0"/>
              <w:jc w:val="center"/>
              <w:textAlignment w:val="center"/>
              <w:rPr>
                <w:rFonts w:ascii="黑体" w:eastAsia="黑体" w:hAnsi="黑体"/>
                <w:color w:val="000000"/>
                <w:szCs w:val="21"/>
              </w:rPr>
            </w:pPr>
            <w:r>
              <w:rPr>
                <w:rFonts w:ascii="黑体" w:eastAsia="黑体" w:hAnsi="黑体" w:hint="eastAsia"/>
                <w:color w:val="000000"/>
                <w:szCs w:val="21"/>
              </w:rPr>
              <w:t>设施设备</w:t>
            </w:r>
          </w:p>
        </w:tc>
        <w:tc>
          <w:tcPr>
            <w:tcW w:w="1105" w:type="dxa"/>
            <w:tcBorders>
              <w:top w:val="single" w:sz="8" w:space="0" w:color="000000"/>
              <w:left w:val="single" w:sz="4" w:space="0" w:color="000000"/>
              <w:bottom w:val="single" w:sz="4" w:space="0" w:color="000000"/>
              <w:right w:val="single" w:sz="8" w:space="0" w:color="000000"/>
            </w:tcBorders>
            <w:vAlign w:val="center"/>
          </w:tcPr>
          <w:p w:rsidR="00473DDF" w:rsidRDefault="00473DDF">
            <w:pPr>
              <w:autoSpaceDN w:val="0"/>
              <w:jc w:val="center"/>
              <w:textAlignment w:val="center"/>
              <w:rPr>
                <w:rFonts w:ascii="黑体" w:eastAsia="黑体" w:hAnsi="黑体"/>
                <w:color w:val="000000"/>
                <w:szCs w:val="21"/>
              </w:rPr>
            </w:pPr>
            <w:r>
              <w:rPr>
                <w:rFonts w:ascii="黑体" w:eastAsia="黑体" w:hAnsi="黑体" w:hint="eastAsia"/>
                <w:color w:val="000000"/>
                <w:szCs w:val="21"/>
              </w:rPr>
              <w:t>使用、维护状况</w:t>
            </w:r>
          </w:p>
        </w:tc>
      </w:tr>
      <w:tr w:rsidR="00473DDF">
        <w:trPr>
          <w:trHeight w:val="2777"/>
          <w:jc w:val="center"/>
        </w:trPr>
        <w:tc>
          <w:tcPr>
            <w:tcW w:w="429" w:type="dxa"/>
            <w:vMerge/>
            <w:tcBorders>
              <w:left w:val="single" w:sz="8" w:space="0" w:color="000000"/>
              <w:bottom w:val="single" w:sz="4" w:space="0" w:color="000000"/>
              <w:right w:val="single" w:sz="4" w:space="0" w:color="000000"/>
            </w:tcBorders>
            <w:vAlign w:val="center"/>
          </w:tcPr>
          <w:p w:rsidR="00473DDF" w:rsidRDefault="00473DDF">
            <w:pPr>
              <w:autoSpaceDN w:val="0"/>
              <w:adjustRightInd w:val="0"/>
              <w:snapToGrid w:val="0"/>
              <w:jc w:val="center"/>
              <w:textAlignment w:val="center"/>
              <w:rPr>
                <w:rFonts w:ascii="宋体"/>
                <w:color w:val="000000"/>
                <w:szCs w:val="21"/>
              </w:rPr>
            </w:pPr>
          </w:p>
        </w:tc>
        <w:tc>
          <w:tcPr>
            <w:tcW w:w="1065" w:type="dxa"/>
            <w:tcBorders>
              <w:top w:val="single" w:sz="4" w:space="0" w:color="000000"/>
              <w:left w:val="single" w:sz="4" w:space="0" w:color="000000"/>
              <w:bottom w:val="single" w:sz="4" w:space="0" w:color="000000"/>
              <w:right w:val="single" w:sz="4" w:space="0" w:color="auto"/>
            </w:tcBorders>
            <w:vAlign w:val="center"/>
          </w:tcPr>
          <w:p w:rsidR="00473DDF" w:rsidRDefault="00473DDF">
            <w:pPr>
              <w:widowControl/>
              <w:jc w:val="center"/>
              <w:textAlignment w:val="center"/>
              <w:rPr>
                <w:rFonts w:ascii="宋体"/>
                <w:color w:val="000000"/>
                <w:szCs w:val="21"/>
              </w:rPr>
            </w:pPr>
            <w:r>
              <w:rPr>
                <w:rFonts w:ascii="宋体" w:hAnsi="宋体" w:hint="eastAsia"/>
                <w:color w:val="000000"/>
                <w:szCs w:val="21"/>
              </w:rPr>
              <w:t>“太阳世纪广场”</w:t>
            </w:r>
          </w:p>
        </w:tc>
        <w:tc>
          <w:tcPr>
            <w:tcW w:w="1308" w:type="dxa"/>
            <w:tcBorders>
              <w:top w:val="single" w:sz="4" w:space="0" w:color="000000"/>
              <w:left w:val="single" w:sz="4" w:space="0" w:color="auto"/>
              <w:bottom w:val="single" w:sz="4" w:space="0" w:color="000000"/>
              <w:right w:val="single" w:sz="4" w:space="0" w:color="auto"/>
            </w:tcBorders>
            <w:vAlign w:val="center"/>
          </w:tcPr>
          <w:p w:rsidR="00473DDF" w:rsidRDefault="00473DDF">
            <w:pPr>
              <w:widowControl/>
              <w:jc w:val="center"/>
              <w:textAlignment w:val="center"/>
              <w:rPr>
                <w:rFonts w:ascii="宋体" w:cs="宋体"/>
                <w:color w:val="000000"/>
                <w:kern w:val="0"/>
                <w:szCs w:val="21"/>
              </w:rPr>
            </w:pPr>
            <w:r>
              <w:rPr>
                <w:rFonts w:ascii="宋体" w:hAnsi="宋体" w:cs="宋体" w:hint="eastAsia"/>
                <w:color w:val="000000"/>
                <w:kern w:val="0"/>
                <w:szCs w:val="21"/>
              </w:rPr>
              <w:t>丹东市房权证振兴区字第</w:t>
            </w:r>
            <w:r>
              <w:rPr>
                <w:rFonts w:ascii="宋体" w:hAnsi="宋体" w:cs="宋体"/>
                <w:color w:val="000000"/>
                <w:kern w:val="0"/>
                <w:szCs w:val="21"/>
              </w:rPr>
              <w:t>20090421096-1</w:t>
            </w:r>
            <w:r>
              <w:rPr>
                <w:rFonts w:ascii="宋体" w:hAnsi="宋体" w:cs="宋体" w:hint="eastAsia"/>
                <w:color w:val="000000"/>
                <w:kern w:val="0"/>
                <w:szCs w:val="21"/>
              </w:rPr>
              <w:t>号</w:t>
            </w:r>
          </w:p>
        </w:tc>
        <w:tc>
          <w:tcPr>
            <w:tcW w:w="690" w:type="dxa"/>
            <w:tcBorders>
              <w:top w:val="single" w:sz="4" w:space="0" w:color="000000"/>
              <w:left w:val="single" w:sz="4" w:space="0" w:color="auto"/>
              <w:bottom w:val="single" w:sz="4" w:space="0" w:color="000000"/>
              <w:right w:val="single" w:sz="4" w:space="0" w:color="000000"/>
            </w:tcBorders>
            <w:vAlign w:val="center"/>
          </w:tcPr>
          <w:p w:rsidR="00473DDF" w:rsidRDefault="00473DDF">
            <w:pPr>
              <w:widowControl/>
              <w:jc w:val="center"/>
              <w:textAlignment w:val="center"/>
              <w:rPr>
                <w:rFonts w:ascii="宋体"/>
                <w:color w:val="000000"/>
                <w:szCs w:val="21"/>
              </w:rPr>
            </w:pPr>
            <w:r>
              <w:rPr>
                <w:rFonts w:ascii="宋体" w:hAnsi="宋体" w:cs="宋体" w:hint="eastAsia"/>
                <w:color w:val="000000"/>
                <w:kern w:val="0"/>
                <w:szCs w:val="21"/>
              </w:rPr>
              <w:t>卓国彪、尹敬善</w:t>
            </w:r>
          </w:p>
        </w:tc>
        <w:tc>
          <w:tcPr>
            <w:tcW w:w="1041" w:type="dxa"/>
            <w:tcBorders>
              <w:top w:val="single" w:sz="4" w:space="0" w:color="000000"/>
              <w:left w:val="single" w:sz="4" w:space="0" w:color="000000"/>
              <w:bottom w:val="single" w:sz="4" w:space="0" w:color="000000"/>
              <w:right w:val="single" w:sz="4" w:space="0" w:color="000000"/>
            </w:tcBorders>
            <w:vAlign w:val="center"/>
          </w:tcPr>
          <w:p w:rsidR="00473DDF" w:rsidRDefault="00473DDF">
            <w:pPr>
              <w:autoSpaceDN w:val="0"/>
              <w:adjustRightInd w:val="0"/>
              <w:snapToGrid w:val="0"/>
              <w:jc w:val="center"/>
              <w:textAlignment w:val="center"/>
              <w:rPr>
                <w:rFonts w:ascii="宋体"/>
                <w:color w:val="000000"/>
                <w:szCs w:val="21"/>
              </w:rPr>
            </w:pPr>
            <w:r>
              <w:rPr>
                <w:rFonts w:ascii="宋体" w:hAnsi="宋体" w:hint="eastAsia"/>
                <w:color w:val="000000"/>
                <w:szCs w:val="21"/>
              </w:rPr>
              <w:t>丹东市振兴区滨江中路</w:t>
            </w:r>
            <w:r>
              <w:rPr>
                <w:rFonts w:ascii="宋体" w:hAnsi="宋体"/>
                <w:color w:val="000000"/>
                <w:szCs w:val="21"/>
              </w:rPr>
              <w:t>132</w:t>
            </w:r>
            <w:r>
              <w:rPr>
                <w:rFonts w:ascii="宋体" w:hAnsi="宋体" w:hint="eastAsia"/>
                <w:color w:val="000000"/>
                <w:szCs w:val="21"/>
              </w:rPr>
              <w:t>号</w:t>
            </w:r>
            <w:r>
              <w:rPr>
                <w:rFonts w:ascii="宋体" w:hAnsi="宋体"/>
                <w:color w:val="000000"/>
                <w:szCs w:val="21"/>
              </w:rPr>
              <w:t>2704</w:t>
            </w:r>
            <w:r>
              <w:rPr>
                <w:rFonts w:ascii="宋体" w:hAnsi="宋体" w:hint="eastAsia"/>
                <w:color w:val="000000"/>
                <w:szCs w:val="21"/>
              </w:rPr>
              <w:t>室</w:t>
            </w:r>
          </w:p>
        </w:tc>
        <w:tc>
          <w:tcPr>
            <w:tcW w:w="704" w:type="dxa"/>
            <w:tcBorders>
              <w:top w:val="single" w:sz="4" w:space="0" w:color="000000"/>
              <w:left w:val="single" w:sz="4" w:space="0" w:color="000000"/>
              <w:bottom w:val="single" w:sz="4" w:space="0" w:color="000000"/>
              <w:right w:val="single" w:sz="4" w:space="0" w:color="000000"/>
            </w:tcBorders>
            <w:vAlign w:val="center"/>
          </w:tcPr>
          <w:p w:rsidR="00473DDF" w:rsidRDefault="00473DDF">
            <w:pPr>
              <w:autoSpaceDN w:val="0"/>
              <w:adjustRightInd w:val="0"/>
              <w:snapToGrid w:val="0"/>
              <w:jc w:val="center"/>
              <w:textAlignment w:val="center"/>
              <w:rPr>
                <w:rFonts w:ascii="宋体"/>
                <w:color w:val="000000"/>
                <w:szCs w:val="21"/>
              </w:rPr>
            </w:pPr>
            <w:r>
              <w:rPr>
                <w:rFonts w:ascii="宋体" w:hAnsi="宋体"/>
                <w:color w:val="000000"/>
                <w:szCs w:val="21"/>
              </w:rPr>
              <w:t>27/32</w:t>
            </w:r>
            <w:r>
              <w:rPr>
                <w:rFonts w:ascii="宋体" w:hAnsi="宋体" w:hint="eastAsia"/>
                <w:color w:val="000000"/>
                <w:szCs w:val="21"/>
              </w:rPr>
              <w:t>层</w:t>
            </w:r>
          </w:p>
        </w:tc>
        <w:tc>
          <w:tcPr>
            <w:tcW w:w="1022" w:type="dxa"/>
            <w:tcBorders>
              <w:top w:val="single" w:sz="4" w:space="0" w:color="000000"/>
              <w:left w:val="single" w:sz="4" w:space="0" w:color="000000"/>
              <w:bottom w:val="single" w:sz="4" w:space="0" w:color="000000"/>
              <w:right w:val="single" w:sz="4" w:space="0" w:color="000000"/>
            </w:tcBorders>
            <w:vAlign w:val="center"/>
          </w:tcPr>
          <w:p w:rsidR="00473DDF" w:rsidRDefault="00473DDF">
            <w:pPr>
              <w:autoSpaceDN w:val="0"/>
              <w:adjustRightInd w:val="0"/>
              <w:snapToGrid w:val="0"/>
              <w:jc w:val="center"/>
              <w:textAlignment w:val="center"/>
              <w:rPr>
                <w:rFonts w:ascii="宋体"/>
                <w:color w:val="000000"/>
                <w:szCs w:val="21"/>
              </w:rPr>
            </w:pPr>
            <w:r>
              <w:rPr>
                <w:rFonts w:ascii="宋体" w:hAnsi="宋体"/>
                <w:color w:val="000000"/>
                <w:szCs w:val="21"/>
              </w:rPr>
              <w:t>228.24</w:t>
            </w:r>
          </w:p>
        </w:tc>
        <w:tc>
          <w:tcPr>
            <w:tcW w:w="512" w:type="dxa"/>
            <w:tcBorders>
              <w:top w:val="single" w:sz="4" w:space="0" w:color="000000"/>
              <w:left w:val="single" w:sz="4" w:space="0" w:color="000000"/>
              <w:bottom w:val="single" w:sz="4" w:space="0" w:color="000000"/>
              <w:right w:val="single" w:sz="4" w:space="0" w:color="000000"/>
            </w:tcBorders>
            <w:vAlign w:val="center"/>
          </w:tcPr>
          <w:p w:rsidR="00473DDF" w:rsidRDefault="00473DDF">
            <w:pPr>
              <w:autoSpaceDN w:val="0"/>
              <w:adjustRightInd w:val="0"/>
              <w:snapToGrid w:val="0"/>
              <w:jc w:val="center"/>
              <w:textAlignment w:val="center"/>
              <w:rPr>
                <w:rFonts w:ascii="宋体"/>
                <w:color w:val="000000"/>
                <w:szCs w:val="21"/>
              </w:rPr>
            </w:pPr>
            <w:r>
              <w:rPr>
                <w:rFonts w:ascii="宋体" w:hAnsi="宋体" w:hint="eastAsia"/>
                <w:color w:val="000000"/>
                <w:szCs w:val="21"/>
              </w:rPr>
              <w:t>成套住宅</w:t>
            </w:r>
          </w:p>
        </w:tc>
        <w:tc>
          <w:tcPr>
            <w:tcW w:w="677" w:type="dxa"/>
            <w:tcBorders>
              <w:top w:val="single" w:sz="4" w:space="0" w:color="000000"/>
              <w:left w:val="single" w:sz="4" w:space="0" w:color="000000"/>
              <w:bottom w:val="single" w:sz="4" w:space="0" w:color="000000"/>
              <w:right w:val="single" w:sz="4" w:space="0" w:color="000000"/>
            </w:tcBorders>
            <w:vAlign w:val="center"/>
          </w:tcPr>
          <w:p w:rsidR="00473DDF" w:rsidRDefault="00473DDF">
            <w:pPr>
              <w:autoSpaceDN w:val="0"/>
              <w:adjustRightInd w:val="0"/>
              <w:snapToGrid w:val="0"/>
              <w:jc w:val="center"/>
              <w:textAlignment w:val="center"/>
              <w:rPr>
                <w:rFonts w:ascii="宋体"/>
                <w:color w:val="000000"/>
                <w:szCs w:val="21"/>
              </w:rPr>
            </w:pPr>
            <w:r>
              <w:rPr>
                <w:rFonts w:ascii="宋体" w:hAnsi="宋体"/>
                <w:szCs w:val="21"/>
              </w:rPr>
              <w:t>2009</w:t>
            </w:r>
            <w:r>
              <w:rPr>
                <w:rFonts w:ascii="宋体" w:hAnsi="宋体" w:hint="eastAsia"/>
                <w:szCs w:val="21"/>
              </w:rPr>
              <w:t>年</w:t>
            </w:r>
          </w:p>
        </w:tc>
        <w:tc>
          <w:tcPr>
            <w:tcW w:w="561" w:type="dxa"/>
            <w:tcBorders>
              <w:top w:val="single" w:sz="4" w:space="0" w:color="000000"/>
              <w:left w:val="single" w:sz="4" w:space="0" w:color="000000"/>
              <w:bottom w:val="single" w:sz="4" w:space="0" w:color="000000"/>
              <w:right w:val="single" w:sz="4" w:space="0" w:color="000000"/>
            </w:tcBorders>
            <w:vAlign w:val="center"/>
          </w:tcPr>
          <w:p w:rsidR="00473DDF" w:rsidRDefault="00473DDF">
            <w:pPr>
              <w:autoSpaceDN w:val="0"/>
              <w:adjustRightInd w:val="0"/>
              <w:snapToGrid w:val="0"/>
              <w:jc w:val="center"/>
              <w:textAlignment w:val="center"/>
              <w:rPr>
                <w:rFonts w:ascii="宋体"/>
                <w:color w:val="000000"/>
                <w:szCs w:val="21"/>
              </w:rPr>
            </w:pPr>
            <w:r>
              <w:rPr>
                <w:rFonts w:ascii="宋体" w:hAnsi="宋体" w:hint="eastAsia"/>
                <w:color w:val="000000"/>
                <w:szCs w:val="21"/>
              </w:rPr>
              <w:t>钢混</w:t>
            </w:r>
          </w:p>
        </w:tc>
        <w:tc>
          <w:tcPr>
            <w:tcW w:w="1095" w:type="dxa"/>
            <w:tcBorders>
              <w:top w:val="single" w:sz="4" w:space="0" w:color="000000"/>
              <w:left w:val="single" w:sz="4" w:space="0" w:color="000000"/>
              <w:bottom w:val="single" w:sz="4" w:space="0" w:color="000000"/>
              <w:right w:val="single" w:sz="4" w:space="0" w:color="000000"/>
            </w:tcBorders>
            <w:vAlign w:val="center"/>
          </w:tcPr>
          <w:p w:rsidR="00473DDF" w:rsidRDefault="00473DDF" w:rsidP="001411A0">
            <w:pPr>
              <w:autoSpaceDN w:val="0"/>
              <w:adjustRightInd w:val="0"/>
              <w:snapToGrid w:val="0"/>
              <w:jc w:val="center"/>
              <w:textAlignment w:val="center"/>
              <w:rPr>
                <w:rFonts w:ascii="宋体"/>
                <w:color w:val="000000"/>
                <w:szCs w:val="21"/>
              </w:rPr>
            </w:pPr>
            <w:r>
              <w:rPr>
                <w:rFonts w:ascii="宋体" w:hAnsi="宋体"/>
                <w:color w:val="000000"/>
                <w:szCs w:val="21"/>
              </w:rPr>
              <w:t>1</w:t>
            </w:r>
            <w:r>
              <w:rPr>
                <w:rFonts w:ascii="宋体" w:hAnsi="宋体" w:hint="eastAsia"/>
                <w:color w:val="000000"/>
                <w:szCs w:val="21"/>
              </w:rPr>
              <w:t>梯</w:t>
            </w:r>
            <w:r>
              <w:rPr>
                <w:rFonts w:ascii="宋体" w:hAnsi="宋体"/>
                <w:color w:val="000000"/>
                <w:szCs w:val="21"/>
              </w:rPr>
              <w:t>2</w:t>
            </w:r>
            <w:r>
              <w:rPr>
                <w:rFonts w:ascii="宋体" w:hAnsi="宋体" w:hint="eastAsia"/>
                <w:color w:val="000000"/>
                <w:szCs w:val="21"/>
              </w:rPr>
              <w:t>户，平层，南北朝向，</w:t>
            </w:r>
            <w:r>
              <w:rPr>
                <w:rFonts w:ascii="宋体" w:hAnsi="宋体" w:hint="eastAsia"/>
                <w:szCs w:val="21"/>
              </w:rPr>
              <w:t>室内层高</w:t>
            </w:r>
            <w:r>
              <w:rPr>
                <w:rFonts w:ascii="宋体" w:hAnsi="宋体"/>
                <w:szCs w:val="21"/>
              </w:rPr>
              <w:t>2.6</w:t>
            </w:r>
            <w:r>
              <w:rPr>
                <w:rFonts w:ascii="宋体" w:hAnsi="宋体" w:hint="eastAsia"/>
                <w:szCs w:val="21"/>
              </w:rPr>
              <w:t>米。</w:t>
            </w:r>
            <w:r>
              <w:rPr>
                <w:rFonts w:ascii="宋体" w:hAnsi="宋体"/>
                <w:szCs w:val="21"/>
              </w:rPr>
              <w:t>4</w:t>
            </w:r>
            <w:r>
              <w:rPr>
                <w:rFonts w:ascii="宋体" w:hAnsi="宋体" w:hint="eastAsia"/>
                <w:szCs w:val="21"/>
              </w:rPr>
              <w:t>室</w:t>
            </w:r>
            <w:r>
              <w:rPr>
                <w:rFonts w:ascii="宋体" w:hAnsi="宋体"/>
                <w:szCs w:val="21"/>
              </w:rPr>
              <w:t>2</w:t>
            </w:r>
            <w:r>
              <w:rPr>
                <w:rFonts w:ascii="宋体" w:hAnsi="宋体" w:hint="eastAsia"/>
                <w:szCs w:val="21"/>
              </w:rPr>
              <w:t>厅</w:t>
            </w:r>
            <w:r>
              <w:rPr>
                <w:rFonts w:ascii="宋体" w:hAnsi="宋体"/>
                <w:szCs w:val="21"/>
              </w:rPr>
              <w:t>3</w:t>
            </w:r>
            <w:r>
              <w:rPr>
                <w:rFonts w:ascii="宋体" w:hAnsi="宋体" w:hint="eastAsia"/>
                <w:szCs w:val="21"/>
              </w:rPr>
              <w:t>卫，南明厅，</w:t>
            </w:r>
            <w:r>
              <w:rPr>
                <w:rFonts w:ascii="宋体" w:hAnsi="宋体"/>
                <w:szCs w:val="21"/>
              </w:rPr>
              <w:t>2</w:t>
            </w:r>
            <w:r>
              <w:rPr>
                <w:rFonts w:ascii="宋体" w:hAnsi="宋体" w:hint="eastAsia"/>
                <w:szCs w:val="21"/>
              </w:rPr>
              <w:t>间南卧室，</w:t>
            </w:r>
            <w:r>
              <w:rPr>
                <w:rFonts w:ascii="宋体" w:hAnsi="宋体"/>
                <w:szCs w:val="21"/>
              </w:rPr>
              <w:t>2</w:t>
            </w:r>
            <w:r>
              <w:rPr>
                <w:rFonts w:ascii="宋体" w:hAnsi="宋体" w:hint="eastAsia"/>
                <w:szCs w:val="21"/>
              </w:rPr>
              <w:t>间北卧室，厨房朝北，</w:t>
            </w:r>
            <w:r>
              <w:rPr>
                <w:rFonts w:ascii="宋体" w:hAnsi="宋体"/>
                <w:szCs w:val="21"/>
              </w:rPr>
              <w:t>3</w:t>
            </w:r>
            <w:r>
              <w:rPr>
                <w:rFonts w:ascii="宋体" w:hAnsi="宋体" w:hint="eastAsia"/>
                <w:szCs w:val="21"/>
              </w:rPr>
              <w:t>间卫生间。</w:t>
            </w:r>
            <w:r>
              <w:rPr>
                <w:rFonts w:ascii="宋体" w:hAnsi="宋体"/>
                <w:szCs w:val="21"/>
              </w:rPr>
              <w:t xml:space="preserve"> </w:t>
            </w:r>
          </w:p>
        </w:tc>
        <w:tc>
          <w:tcPr>
            <w:tcW w:w="3539" w:type="dxa"/>
            <w:tcBorders>
              <w:top w:val="single" w:sz="4" w:space="0" w:color="000000"/>
              <w:left w:val="single" w:sz="4" w:space="0" w:color="000000"/>
              <w:bottom w:val="single" w:sz="4" w:space="0" w:color="000000"/>
              <w:right w:val="single" w:sz="4" w:space="0" w:color="000000"/>
            </w:tcBorders>
            <w:vAlign w:val="center"/>
          </w:tcPr>
          <w:p w:rsidR="00473DDF" w:rsidRDefault="00473DDF">
            <w:pPr>
              <w:autoSpaceDN w:val="0"/>
              <w:adjustRightInd w:val="0"/>
              <w:snapToGrid w:val="0"/>
              <w:jc w:val="left"/>
              <w:textAlignment w:val="center"/>
              <w:rPr>
                <w:rFonts w:ascii="宋体"/>
                <w:color w:val="000000"/>
                <w:szCs w:val="21"/>
              </w:rPr>
            </w:pPr>
            <w:r>
              <w:rPr>
                <w:rFonts w:ascii="宋体" w:hAnsi="宋体" w:hint="eastAsia"/>
                <w:color w:val="000000"/>
                <w:szCs w:val="21"/>
              </w:rPr>
              <w:t>外墙：涂料。</w:t>
            </w:r>
          </w:p>
          <w:p w:rsidR="00473DDF" w:rsidRDefault="00473DDF">
            <w:pPr>
              <w:autoSpaceDN w:val="0"/>
              <w:adjustRightInd w:val="0"/>
              <w:snapToGrid w:val="0"/>
              <w:jc w:val="left"/>
              <w:textAlignment w:val="center"/>
              <w:rPr>
                <w:rFonts w:ascii="宋体"/>
                <w:szCs w:val="21"/>
              </w:rPr>
            </w:pPr>
            <w:r>
              <w:rPr>
                <w:rFonts w:ascii="宋体" w:hAnsi="宋体" w:hint="eastAsia"/>
                <w:szCs w:val="21"/>
              </w:rPr>
              <w:t>单元门为对讲门，有门禁。</w:t>
            </w:r>
          </w:p>
          <w:p w:rsidR="00473DDF" w:rsidRDefault="00473DDF">
            <w:pPr>
              <w:autoSpaceDN w:val="0"/>
              <w:adjustRightInd w:val="0"/>
              <w:snapToGrid w:val="0"/>
              <w:jc w:val="left"/>
              <w:textAlignment w:val="center"/>
              <w:rPr>
                <w:rFonts w:ascii="宋体"/>
                <w:szCs w:val="21"/>
              </w:rPr>
            </w:pPr>
            <w:r>
              <w:rPr>
                <w:rFonts w:ascii="宋体" w:hAnsi="宋体" w:hint="eastAsia"/>
                <w:szCs w:val="21"/>
              </w:rPr>
              <w:t>进户门为防盗门，塑钢窗。</w:t>
            </w:r>
          </w:p>
          <w:p w:rsidR="00473DDF" w:rsidRDefault="00473DDF">
            <w:pPr>
              <w:autoSpaceDN w:val="0"/>
              <w:adjustRightInd w:val="0"/>
              <w:snapToGrid w:val="0"/>
              <w:jc w:val="left"/>
              <w:textAlignment w:val="center"/>
              <w:rPr>
                <w:rFonts w:ascii="宋体"/>
                <w:szCs w:val="21"/>
              </w:rPr>
            </w:pPr>
            <w:r>
              <w:rPr>
                <w:rFonts w:ascii="宋体" w:hAnsi="宋体" w:hint="eastAsia"/>
                <w:szCs w:val="21"/>
              </w:rPr>
              <w:t>室内门为木门，卫生间门为玻璃推拉门</w:t>
            </w:r>
          </w:p>
          <w:p w:rsidR="00473DDF" w:rsidRDefault="00473DDF">
            <w:pPr>
              <w:autoSpaceDN w:val="0"/>
              <w:adjustRightInd w:val="0"/>
              <w:snapToGrid w:val="0"/>
              <w:jc w:val="left"/>
              <w:textAlignment w:val="center"/>
              <w:rPr>
                <w:rFonts w:ascii="宋体"/>
                <w:szCs w:val="21"/>
              </w:rPr>
            </w:pPr>
            <w:r>
              <w:rPr>
                <w:rFonts w:ascii="宋体" w:hAnsi="宋体" w:hint="eastAsia"/>
                <w:szCs w:val="21"/>
              </w:rPr>
              <w:t>内部装修情况：简单装修。</w:t>
            </w:r>
          </w:p>
          <w:p w:rsidR="00473DDF" w:rsidRDefault="00473DDF">
            <w:pPr>
              <w:autoSpaceDN w:val="0"/>
              <w:adjustRightInd w:val="0"/>
              <w:snapToGrid w:val="0"/>
              <w:jc w:val="left"/>
              <w:textAlignment w:val="center"/>
              <w:rPr>
                <w:rFonts w:ascii="宋体"/>
                <w:szCs w:val="21"/>
              </w:rPr>
            </w:pPr>
            <w:r>
              <w:rPr>
                <w:rFonts w:ascii="宋体" w:hAnsi="宋体" w:hint="eastAsia"/>
                <w:szCs w:val="21"/>
              </w:rPr>
              <w:t>地面：客厅、卧室地面铺地板；厨房、阳台、卫生间地面铺地砖。</w:t>
            </w:r>
          </w:p>
          <w:p w:rsidR="00473DDF" w:rsidRDefault="00473DDF">
            <w:pPr>
              <w:autoSpaceDN w:val="0"/>
              <w:adjustRightInd w:val="0"/>
              <w:snapToGrid w:val="0"/>
              <w:jc w:val="left"/>
              <w:textAlignment w:val="center"/>
              <w:rPr>
                <w:rFonts w:ascii="宋体"/>
                <w:szCs w:val="21"/>
              </w:rPr>
            </w:pPr>
            <w:r>
              <w:rPr>
                <w:rFonts w:ascii="宋体" w:hAnsi="宋体" w:hint="eastAsia"/>
                <w:szCs w:val="21"/>
              </w:rPr>
              <w:t>墙面：客厅、卧室墙面贴壁纸；厨房、阳台、卫生间瓷砖到顶。</w:t>
            </w:r>
          </w:p>
          <w:p w:rsidR="00473DDF" w:rsidRDefault="00473DDF">
            <w:pPr>
              <w:autoSpaceDN w:val="0"/>
              <w:adjustRightInd w:val="0"/>
              <w:snapToGrid w:val="0"/>
              <w:jc w:val="left"/>
              <w:textAlignment w:val="center"/>
              <w:rPr>
                <w:rFonts w:ascii="宋体"/>
                <w:szCs w:val="21"/>
              </w:rPr>
            </w:pPr>
            <w:r>
              <w:rPr>
                <w:rFonts w:ascii="宋体" w:hAnsi="宋体" w:hint="eastAsia"/>
                <w:szCs w:val="21"/>
              </w:rPr>
              <w:t>天棚：客厅、卧室天棚石膏板吊顶；厨房、阳台、卫生间均为铝塑板吊顶。</w:t>
            </w:r>
          </w:p>
          <w:p w:rsidR="00473DDF" w:rsidRDefault="00473DDF">
            <w:pPr>
              <w:autoSpaceDN w:val="0"/>
              <w:adjustRightInd w:val="0"/>
              <w:snapToGrid w:val="0"/>
              <w:jc w:val="left"/>
              <w:textAlignment w:val="center"/>
              <w:rPr>
                <w:rFonts w:ascii="宋体"/>
                <w:szCs w:val="21"/>
              </w:rPr>
            </w:pPr>
            <w:r>
              <w:rPr>
                <w:rFonts w:ascii="宋体" w:hAnsi="宋体" w:hint="eastAsia"/>
                <w:szCs w:val="21"/>
              </w:rPr>
              <w:t>卫生间：卫生间内有座便、洗手盆、淋浴。</w:t>
            </w:r>
          </w:p>
        </w:tc>
        <w:tc>
          <w:tcPr>
            <w:tcW w:w="961" w:type="dxa"/>
            <w:tcBorders>
              <w:top w:val="single" w:sz="4" w:space="0" w:color="000000"/>
              <w:left w:val="single" w:sz="4" w:space="0" w:color="000000"/>
              <w:bottom w:val="single" w:sz="4" w:space="0" w:color="000000"/>
              <w:right w:val="single" w:sz="4" w:space="0" w:color="000000"/>
            </w:tcBorders>
            <w:vAlign w:val="center"/>
          </w:tcPr>
          <w:p w:rsidR="00473DDF" w:rsidRDefault="00473DDF">
            <w:pPr>
              <w:autoSpaceDN w:val="0"/>
              <w:adjustRightInd w:val="0"/>
              <w:snapToGrid w:val="0"/>
              <w:jc w:val="center"/>
              <w:textAlignment w:val="center"/>
              <w:rPr>
                <w:rFonts w:ascii="宋体"/>
                <w:szCs w:val="21"/>
              </w:rPr>
            </w:pPr>
            <w:r>
              <w:rPr>
                <w:rFonts w:ascii="宋体" w:hAnsi="宋体" w:hint="eastAsia"/>
                <w:szCs w:val="21"/>
              </w:rPr>
              <w:t>有上下水、电、煤气、供暖、网络等设施设备。</w:t>
            </w:r>
          </w:p>
        </w:tc>
        <w:tc>
          <w:tcPr>
            <w:tcW w:w="1105" w:type="dxa"/>
            <w:tcBorders>
              <w:top w:val="single" w:sz="4" w:space="0" w:color="000000"/>
              <w:left w:val="single" w:sz="4" w:space="0" w:color="000000"/>
              <w:bottom w:val="single" w:sz="4" w:space="0" w:color="000000"/>
              <w:right w:val="single" w:sz="8" w:space="0" w:color="000000"/>
            </w:tcBorders>
            <w:vAlign w:val="center"/>
          </w:tcPr>
          <w:p w:rsidR="00473DDF" w:rsidRDefault="00473DDF" w:rsidP="001411A0">
            <w:pPr>
              <w:autoSpaceDN w:val="0"/>
              <w:adjustRightInd w:val="0"/>
              <w:snapToGrid w:val="0"/>
              <w:jc w:val="center"/>
              <w:textAlignment w:val="center"/>
              <w:rPr>
                <w:rFonts w:ascii="宋体"/>
                <w:szCs w:val="21"/>
              </w:rPr>
            </w:pPr>
            <w:r>
              <w:rPr>
                <w:rFonts w:ascii="宋体" w:hAnsi="宋体" w:hint="eastAsia"/>
                <w:szCs w:val="21"/>
              </w:rPr>
              <w:t>估价对象于价值时点空置</w:t>
            </w:r>
            <w:r>
              <w:rPr>
                <w:rFonts w:hint="eastAsia"/>
                <w:szCs w:val="21"/>
              </w:rPr>
              <w:t>，玄关、廊厅有漏水痕迹，漏水点对应位置的地板损坏较严重，室内装修维护保养状况一般保持一般，综合</w:t>
            </w:r>
            <w:r>
              <w:rPr>
                <w:rFonts w:ascii="宋体" w:hAnsi="宋体" w:hint="eastAsia"/>
                <w:szCs w:val="21"/>
              </w:rPr>
              <w:t>维护保养状况一般。</w:t>
            </w:r>
          </w:p>
        </w:tc>
      </w:tr>
      <w:tr w:rsidR="00473DDF">
        <w:trPr>
          <w:trHeight w:val="899"/>
          <w:jc w:val="center"/>
        </w:trPr>
        <w:tc>
          <w:tcPr>
            <w:tcW w:w="429" w:type="dxa"/>
            <w:tcBorders>
              <w:top w:val="single" w:sz="4" w:space="0" w:color="000000"/>
              <w:left w:val="single" w:sz="8" w:space="0" w:color="000000"/>
              <w:bottom w:val="single" w:sz="4" w:space="0" w:color="000000"/>
              <w:right w:val="single" w:sz="4" w:space="0" w:color="000000"/>
            </w:tcBorders>
            <w:vAlign w:val="center"/>
          </w:tcPr>
          <w:p w:rsidR="00473DDF" w:rsidRDefault="00473DDF">
            <w:pPr>
              <w:autoSpaceDN w:val="0"/>
              <w:jc w:val="center"/>
              <w:textAlignment w:val="center"/>
              <w:rPr>
                <w:rFonts w:ascii="宋体"/>
                <w:color w:val="000000"/>
                <w:szCs w:val="21"/>
              </w:rPr>
            </w:pPr>
            <w:r>
              <w:rPr>
                <w:rFonts w:ascii="黑体" w:eastAsia="黑体" w:hAnsi="黑体" w:cs="黑体" w:hint="eastAsia"/>
                <w:color w:val="000000"/>
                <w:szCs w:val="21"/>
              </w:rPr>
              <w:t>区位状况</w:t>
            </w:r>
          </w:p>
        </w:tc>
        <w:tc>
          <w:tcPr>
            <w:tcW w:w="14280" w:type="dxa"/>
            <w:gridSpan w:val="13"/>
            <w:tcBorders>
              <w:top w:val="single" w:sz="4" w:space="0" w:color="000000"/>
              <w:left w:val="single" w:sz="4" w:space="0" w:color="000000"/>
              <w:bottom w:val="single" w:sz="4" w:space="0" w:color="000000"/>
              <w:right w:val="single" w:sz="8" w:space="0" w:color="000000"/>
            </w:tcBorders>
            <w:vAlign w:val="center"/>
          </w:tcPr>
          <w:p w:rsidR="00473DDF" w:rsidRDefault="00473DDF">
            <w:pPr>
              <w:autoSpaceDN w:val="0"/>
              <w:spacing w:line="360" w:lineRule="auto"/>
              <w:jc w:val="left"/>
              <w:textAlignment w:val="center"/>
              <w:rPr>
                <w:rFonts w:ascii="宋体"/>
                <w:color w:val="000000"/>
                <w:szCs w:val="21"/>
              </w:rPr>
            </w:pPr>
            <w:r>
              <w:rPr>
                <w:rFonts w:ascii="宋体" w:hAnsi="宋体"/>
                <w:color w:val="000000"/>
                <w:szCs w:val="21"/>
              </w:rPr>
              <w:t>1</w:t>
            </w:r>
            <w:r>
              <w:rPr>
                <w:rFonts w:ascii="宋体" w:hAnsi="宋体" w:hint="eastAsia"/>
                <w:color w:val="000000"/>
                <w:szCs w:val="21"/>
              </w:rPr>
              <w:t>、位置状况</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）坐落：估价对象位于丹东市振兴区滨江中路</w:t>
            </w:r>
            <w:r>
              <w:rPr>
                <w:rFonts w:ascii="宋体" w:hAnsi="宋体"/>
                <w:color w:val="000000"/>
                <w:szCs w:val="21"/>
              </w:rPr>
              <w:t>132</w:t>
            </w:r>
            <w:r>
              <w:rPr>
                <w:rFonts w:ascii="宋体" w:hAnsi="宋体" w:hint="eastAsia"/>
                <w:color w:val="000000"/>
                <w:szCs w:val="21"/>
              </w:rPr>
              <w:t>号</w:t>
            </w:r>
            <w:r>
              <w:rPr>
                <w:rFonts w:ascii="宋体" w:hAnsi="宋体"/>
                <w:color w:val="000000"/>
                <w:szCs w:val="21"/>
              </w:rPr>
              <w:t>2704</w:t>
            </w:r>
            <w:r>
              <w:rPr>
                <w:rFonts w:ascii="宋体" w:hAnsi="宋体" w:hint="eastAsia"/>
                <w:color w:val="000000"/>
                <w:szCs w:val="21"/>
              </w:rPr>
              <w:t>室“太阳世纪广场”小区，具体见位置示意图。</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）方位：位于丹东市东部，月亮岛西侧，鸭绿江西岸。</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）与重要场所（设施）的距离：估价对象所在小区距丹东市人民政府约</w:t>
            </w:r>
            <w:r>
              <w:rPr>
                <w:rFonts w:ascii="宋体" w:hAnsi="宋体"/>
                <w:color w:val="000000"/>
                <w:szCs w:val="21"/>
              </w:rPr>
              <w:t>13</w:t>
            </w:r>
            <w:r>
              <w:rPr>
                <w:rFonts w:ascii="宋体" w:hAnsi="宋体" w:hint="eastAsia"/>
                <w:color w:val="000000"/>
                <w:szCs w:val="21"/>
              </w:rPr>
              <w:t>公里。</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）临街（路）状况：估价对象临滨江中路。</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）朝向：南北朝向。</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）楼层：第</w:t>
            </w:r>
            <w:r>
              <w:rPr>
                <w:rFonts w:ascii="宋体" w:hAnsi="宋体"/>
                <w:color w:val="000000"/>
                <w:szCs w:val="21"/>
              </w:rPr>
              <w:t>27</w:t>
            </w:r>
            <w:r>
              <w:rPr>
                <w:rFonts w:ascii="宋体" w:hAnsi="宋体" w:hint="eastAsia"/>
                <w:color w:val="000000"/>
                <w:szCs w:val="21"/>
              </w:rPr>
              <w:t>层，共</w:t>
            </w:r>
            <w:r>
              <w:rPr>
                <w:rFonts w:ascii="宋体" w:hAnsi="宋体"/>
                <w:color w:val="000000"/>
                <w:szCs w:val="21"/>
              </w:rPr>
              <w:t>32</w:t>
            </w:r>
            <w:r>
              <w:rPr>
                <w:rFonts w:ascii="宋体" w:hAnsi="宋体" w:hint="eastAsia"/>
                <w:color w:val="000000"/>
                <w:szCs w:val="21"/>
              </w:rPr>
              <w:t>层。</w:t>
            </w:r>
          </w:p>
          <w:p w:rsidR="00473DDF" w:rsidRDefault="00473DDF">
            <w:pPr>
              <w:autoSpaceDN w:val="0"/>
              <w:spacing w:line="360" w:lineRule="auto"/>
              <w:jc w:val="left"/>
              <w:textAlignment w:val="center"/>
              <w:rPr>
                <w:rFonts w:ascii="宋体"/>
                <w:color w:val="000000"/>
                <w:szCs w:val="21"/>
              </w:rPr>
            </w:pPr>
            <w:r>
              <w:rPr>
                <w:rFonts w:ascii="宋体" w:hAnsi="宋体"/>
                <w:color w:val="000000"/>
                <w:szCs w:val="21"/>
              </w:rPr>
              <w:t>2</w:t>
            </w:r>
            <w:r>
              <w:rPr>
                <w:rFonts w:ascii="宋体" w:hAnsi="宋体" w:hint="eastAsia"/>
                <w:color w:val="000000"/>
                <w:szCs w:val="21"/>
              </w:rPr>
              <w:t>、交通状况</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）道路状况：估价对象周围有滨江中路、春三路、通春街、福春街等主次干道。</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）出入可利用的交通工具：估价对象附近有</w:t>
            </w:r>
            <w:r>
              <w:rPr>
                <w:rFonts w:ascii="宋体" w:hAnsi="宋体"/>
                <w:color w:val="000000"/>
                <w:szCs w:val="21"/>
              </w:rPr>
              <w:t>126</w:t>
            </w:r>
            <w:r>
              <w:rPr>
                <w:rFonts w:ascii="宋体" w:hAnsi="宋体" w:hint="eastAsia"/>
                <w:color w:val="000000"/>
                <w:szCs w:val="21"/>
              </w:rPr>
              <w:t>路、</w:t>
            </w:r>
            <w:r>
              <w:rPr>
                <w:rFonts w:ascii="宋体" w:hAnsi="宋体"/>
                <w:color w:val="000000"/>
                <w:szCs w:val="21"/>
              </w:rPr>
              <w:t>127</w:t>
            </w:r>
            <w:r>
              <w:rPr>
                <w:rFonts w:ascii="宋体" w:hAnsi="宋体" w:hint="eastAsia"/>
                <w:color w:val="000000"/>
                <w:szCs w:val="21"/>
              </w:rPr>
              <w:t>路、</w:t>
            </w:r>
            <w:r>
              <w:rPr>
                <w:rFonts w:ascii="宋体" w:hAnsi="宋体"/>
                <w:color w:val="000000"/>
                <w:szCs w:val="21"/>
              </w:rPr>
              <w:t>303</w:t>
            </w:r>
            <w:r>
              <w:rPr>
                <w:rFonts w:ascii="宋体" w:hAnsi="宋体" w:hint="eastAsia"/>
                <w:color w:val="000000"/>
                <w:szCs w:val="21"/>
              </w:rPr>
              <w:t>路公交车在附近设有站点，公共交通便捷度较好。</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）交通管制情况：估价对象周围无交通管制。</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）停车方便程度：估价对象所在小区附近可以停车，停车免费，停车较方便。</w:t>
            </w:r>
          </w:p>
          <w:p w:rsidR="00473DDF" w:rsidRDefault="00473DDF">
            <w:pPr>
              <w:autoSpaceDN w:val="0"/>
              <w:spacing w:line="360" w:lineRule="auto"/>
              <w:jc w:val="left"/>
              <w:textAlignment w:val="center"/>
              <w:rPr>
                <w:rFonts w:ascii="宋体"/>
                <w:color w:val="000000"/>
                <w:szCs w:val="21"/>
              </w:rPr>
            </w:pPr>
            <w:r>
              <w:rPr>
                <w:rFonts w:ascii="宋体" w:hAnsi="宋体"/>
                <w:color w:val="000000"/>
                <w:szCs w:val="21"/>
              </w:rPr>
              <w:t>3</w:t>
            </w:r>
            <w:r>
              <w:rPr>
                <w:rFonts w:ascii="宋体" w:hAnsi="宋体" w:hint="eastAsia"/>
                <w:color w:val="000000"/>
                <w:szCs w:val="21"/>
              </w:rPr>
              <w:t>、环境状况</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）自然环境：估价对象周围自然环境较好。</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）人文环境：估价对象</w:t>
            </w:r>
            <w:r w:rsidRPr="00837EAE">
              <w:rPr>
                <w:rFonts w:ascii="宋体" w:hAnsi="宋体" w:hint="eastAsia"/>
                <w:color w:val="000000"/>
                <w:szCs w:val="21"/>
              </w:rPr>
              <w:t>小区内住户素质较高</w:t>
            </w:r>
            <w:r>
              <w:rPr>
                <w:rFonts w:ascii="宋体" w:hAnsi="宋体" w:hint="eastAsia"/>
                <w:color w:val="000000"/>
                <w:szCs w:val="21"/>
              </w:rPr>
              <w:t>。</w:t>
            </w:r>
            <w:r w:rsidRPr="00837EAE">
              <w:rPr>
                <w:rFonts w:ascii="宋体" w:hAnsi="宋体" w:hint="eastAsia"/>
                <w:color w:val="000000"/>
                <w:szCs w:val="21"/>
              </w:rPr>
              <w:t>该小区附近住宅小区主要以中高档住宅区为主，人文环境较好</w:t>
            </w:r>
            <w:r>
              <w:rPr>
                <w:rFonts w:ascii="宋体" w:hAnsi="宋体" w:hint="eastAsia"/>
                <w:color w:val="000000"/>
                <w:szCs w:val="21"/>
              </w:rPr>
              <w:t>。</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）噪音、大气环境：估价对象</w:t>
            </w:r>
            <w:r w:rsidRPr="009314ED">
              <w:rPr>
                <w:rFonts w:ascii="宋体" w:hAnsi="宋体" w:hint="eastAsia"/>
                <w:color w:val="000000"/>
                <w:szCs w:val="21"/>
              </w:rPr>
              <w:t>所在楼临街，但车流量较小，基本无噪音污染和大气污染</w:t>
            </w:r>
            <w:r>
              <w:rPr>
                <w:rFonts w:ascii="宋体" w:hAnsi="宋体" w:hint="eastAsia"/>
                <w:color w:val="000000"/>
                <w:szCs w:val="21"/>
              </w:rPr>
              <w:t>。</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）景观：估价对象紧临鸭绿江，是鸭绿江西岸一线江景房。</w:t>
            </w:r>
          </w:p>
          <w:p w:rsidR="00473DDF" w:rsidRDefault="00473DDF">
            <w:pPr>
              <w:autoSpaceDN w:val="0"/>
              <w:spacing w:line="360" w:lineRule="auto"/>
              <w:jc w:val="left"/>
              <w:textAlignment w:val="center"/>
              <w:rPr>
                <w:rFonts w:ascii="宋体"/>
                <w:color w:val="000000"/>
                <w:szCs w:val="21"/>
              </w:rPr>
            </w:pPr>
            <w:r>
              <w:rPr>
                <w:rFonts w:ascii="宋体" w:hAnsi="宋体"/>
                <w:color w:val="000000"/>
                <w:szCs w:val="21"/>
              </w:rPr>
              <w:t>4</w:t>
            </w:r>
            <w:r>
              <w:rPr>
                <w:rFonts w:ascii="宋体" w:hAnsi="宋体" w:hint="eastAsia"/>
                <w:color w:val="000000"/>
                <w:szCs w:val="21"/>
              </w:rPr>
              <w:t>、外部配套设施状况</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）外部基础设施：估价对象宗地红线外达到“七通一平”（即供水、排水</w:t>
            </w:r>
            <w:r>
              <w:rPr>
                <w:rFonts w:ascii="宋体" w:hAnsi="宋体"/>
                <w:color w:val="000000"/>
                <w:szCs w:val="21"/>
              </w:rPr>
              <w:t>——</w:t>
            </w:r>
            <w:r>
              <w:rPr>
                <w:rFonts w:ascii="宋体" w:hAnsi="宋体" w:hint="eastAsia"/>
                <w:color w:val="000000"/>
                <w:szCs w:val="21"/>
              </w:rPr>
              <w:t>雨水和污水、通电、通讯、通路、通暖、供煤气及场地平整），估价对象所在楼宗地红线内达到“七通一平”（即供水、排水</w:t>
            </w:r>
            <w:r>
              <w:rPr>
                <w:rFonts w:ascii="宋体" w:hAnsi="宋体"/>
                <w:color w:val="000000"/>
                <w:szCs w:val="21"/>
              </w:rPr>
              <w:t>——</w:t>
            </w:r>
            <w:r>
              <w:rPr>
                <w:rFonts w:ascii="宋体" w:hAnsi="宋体" w:hint="eastAsia"/>
                <w:color w:val="000000"/>
                <w:szCs w:val="21"/>
              </w:rPr>
              <w:t>雨水和污水、通电、通讯、通路、通暖、通煤气及场地平整），其完备度与保障率一般。</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）教育配套设施：估价对象附近有敬业高中、六纬路小学、丹东市第二十一中学等教育配套设施。估价对象是六纬路小学学区房。</w:t>
            </w:r>
          </w:p>
          <w:p w:rsidR="00473DDF" w:rsidRDefault="00473DDF">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）公共服务设施：</w:t>
            </w:r>
            <w:r w:rsidRPr="009314ED">
              <w:rPr>
                <w:rFonts w:ascii="宋体" w:hAnsi="宋体" w:hint="eastAsia"/>
                <w:color w:val="000000"/>
                <w:szCs w:val="21"/>
              </w:rPr>
              <w:t>估价对象附近有丹东市中心医院、福春大市场、大连银行、华美新天地购物中心等公共配套设施，且距离较近</w:t>
            </w:r>
            <w:r>
              <w:rPr>
                <w:rFonts w:ascii="宋体" w:hAnsi="宋体" w:hint="eastAsia"/>
                <w:color w:val="000000"/>
                <w:szCs w:val="21"/>
              </w:rPr>
              <w:t>。</w:t>
            </w:r>
          </w:p>
          <w:p w:rsidR="00473DDF" w:rsidRDefault="00473DDF" w:rsidP="009314ED">
            <w:pPr>
              <w:autoSpaceDN w:val="0"/>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）居住成熟度：估价对象附近住宅小区较多，多为中高档住宅区，居住成熟度较好。</w:t>
            </w:r>
          </w:p>
        </w:tc>
      </w:tr>
      <w:tr w:rsidR="00473DDF">
        <w:trPr>
          <w:trHeight w:val="983"/>
          <w:jc w:val="center"/>
        </w:trPr>
        <w:tc>
          <w:tcPr>
            <w:tcW w:w="429" w:type="dxa"/>
            <w:tcBorders>
              <w:top w:val="single" w:sz="4" w:space="0" w:color="000000"/>
              <w:left w:val="single" w:sz="8" w:space="0" w:color="000000"/>
              <w:bottom w:val="single" w:sz="4" w:space="0" w:color="000000"/>
              <w:right w:val="single" w:sz="4" w:space="0" w:color="000000"/>
            </w:tcBorders>
            <w:vAlign w:val="center"/>
          </w:tcPr>
          <w:p w:rsidR="00473DDF" w:rsidRDefault="00473DDF">
            <w:pPr>
              <w:autoSpaceDN w:val="0"/>
              <w:jc w:val="center"/>
              <w:textAlignment w:val="center"/>
              <w:rPr>
                <w:rFonts w:ascii="宋体"/>
                <w:color w:val="000000"/>
                <w:szCs w:val="21"/>
              </w:rPr>
            </w:pPr>
            <w:r>
              <w:rPr>
                <w:rFonts w:ascii="黑体" w:eastAsia="黑体" w:hAnsi="黑体" w:cs="黑体" w:hint="eastAsia"/>
                <w:color w:val="000000"/>
                <w:szCs w:val="21"/>
              </w:rPr>
              <w:t>权益状况</w:t>
            </w:r>
          </w:p>
        </w:tc>
        <w:tc>
          <w:tcPr>
            <w:tcW w:w="14280" w:type="dxa"/>
            <w:gridSpan w:val="13"/>
            <w:tcBorders>
              <w:top w:val="single" w:sz="4" w:space="0" w:color="000000"/>
              <w:left w:val="single" w:sz="4" w:space="0" w:color="000000"/>
              <w:bottom w:val="single" w:sz="4" w:space="0" w:color="000000"/>
              <w:right w:val="single" w:sz="8" w:space="0" w:color="000000"/>
            </w:tcBorders>
            <w:vAlign w:val="center"/>
          </w:tcPr>
          <w:p w:rsidR="00473DDF" w:rsidRDefault="00473DDF">
            <w:pPr>
              <w:autoSpaceDN w:val="0"/>
              <w:spacing w:line="360" w:lineRule="auto"/>
              <w:textAlignment w:val="center"/>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）房屋所有权状况：依据《房屋所有权证》复印件记载，估价对象所有权人为卓国彪、尹敬善。</w:t>
            </w:r>
          </w:p>
          <w:p w:rsidR="00473DDF" w:rsidRPr="00EC53A7" w:rsidRDefault="00473DDF">
            <w:pPr>
              <w:autoSpaceDN w:val="0"/>
              <w:spacing w:line="360" w:lineRule="auto"/>
              <w:textAlignment w:val="center"/>
              <w:rPr>
                <w:rFonts w:ascii="宋体"/>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）他项权利设立情况：依据《他项权利证》复印件记载，估价对象于价值时点有房屋他项权利登记，权利人为丹东银行股份有限公司，抵押人为卓国彪、尹敬善，债权数额</w:t>
            </w:r>
            <w:r>
              <w:rPr>
                <w:rFonts w:ascii="宋体" w:hAnsi="宋体"/>
                <w:color w:val="000000"/>
                <w:szCs w:val="21"/>
              </w:rPr>
              <w:t>130</w:t>
            </w:r>
            <w:r>
              <w:rPr>
                <w:rFonts w:ascii="宋体" w:hAnsi="宋体" w:hint="eastAsia"/>
                <w:color w:val="000000"/>
                <w:szCs w:val="21"/>
              </w:rPr>
              <w:t>万元，抵押登记日期</w:t>
            </w:r>
            <w:r>
              <w:rPr>
                <w:rFonts w:ascii="宋体" w:hAnsi="宋体"/>
                <w:color w:val="000000"/>
                <w:szCs w:val="21"/>
              </w:rPr>
              <w:t>2012</w:t>
            </w:r>
            <w:r>
              <w:rPr>
                <w:rFonts w:ascii="宋体"/>
                <w:color w:val="000000"/>
                <w:szCs w:val="21"/>
              </w:rPr>
              <w:t>-0</w:t>
            </w:r>
            <w:r>
              <w:rPr>
                <w:rFonts w:ascii="宋体" w:hAnsi="宋体"/>
                <w:color w:val="000000"/>
                <w:szCs w:val="21"/>
              </w:rPr>
              <w:t>6-2</w:t>
            </w:r>
            <w:r>
              <w:rPr>
                <w:rFonts w:ascii="宋体"/>
                <w:color w:val="000000"/>
                <w:szCs w:val="21"/>
              </w:rPr>
              <w:t>0</w:t>
            </w:r>
            <w:r w:rsidRPr="00EC53A7">
              <w:rPr>
                <w:rFonts w:ascii="宋体" w:hAnsi="宋体" w:hint="eastAsia"/>
                <w:szCs w:val="21"/>
              </w:rPr>
              <w:t>。</w:t>
            </w:r>
          </w:p>
          <w:p w:rsidR="00473DDF" w:rsidRDefault="00473DDF">
            <w:pPr>
              <w:autoSpaceDN w:val="0"/>
              <w:spacing w:line="360" w:lineRule="auto"/>
              <w:textAlignment w:val="center"/>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）出租或占用情况：未出租，未占用，估价对象于价值时点处于空置状态。</w:t>
            </w:r>
          </w:p>
          <w:p w:rsidR="00473DDF" w:rsidRDefault="00473DDF">
            <w:pPr>
              <w:autoSpaceDN w:val="0"/>
              <w:spacing w:line="360" w:lineRule="auto"/>
              <w:textAlignment w:val="center"/>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）其他特殊情况：无。</w:t>
            </w:r>
          </w:p>
        </w:tc>
      </w:tr>
    </w:tbl>
    <w:p w:rsidR="00473DDF" w:rsidRDefault="00473DDF" w:rsidP="00822204">
      <w:pPr>
        <w:pStyle w:val="Heading2"/>
        <w:spacing w:beforeLines="50" w:afterLines="50" w:line="360" w:lineRule="auto"/>
        <w:ind w:firstLineChars="200" w:firstLine="480"/>
        <w:rPr>
          <w:rFonts w:ascii="Times New Roman" w:hAnsi="Times New Roman"/>
          <w:b w:val="0"/>
          <w:color w:val="000000"/>
          <w:sz w:val="24"/>
          <w:szCs w:val="24"/>
        </w:rPr>
        <w:sectPr w:rsidR="00473DDF">
          <w:headerReference w:type="default" r:id="rId17"/>
          <w:footerReference w:type="default" r:id="rId18"/>
          <w:pgSz w:w="16840" w:h="11907" w:orient="landscape"/>
          <w:pgMar w:top="1797" w:right="1440" w:bottom="1797" w:left="1440" w:header="851" w:footer="850" w:gutter="0"/>
          <w:cols w:space="720"/>
          <w:docGrid w:linePitch="312"/>
        </w:sectPr>
      </w:pPr>
    </w:p>
    <w:p w:rsidR="00473DDF" w:rsidRDefault="00473DDF" w:rsidP="00822204">
      <w:pPr>
        <w:pStyle w:val="Heading2"/>
        <w:spacing w:beforeLines="50" w:afterLines="50" w:line="360" w:lineRule="auto"/>
        <w:ind w:firstLineChars="200" w:firstLine="480"/>
        <w:rPr>
          <w:rFonts w:ascii="Times New Roman" w:hAnsi="Times New Roman"/>
          <w:b w:val="0"/>
          <w:color w:val="000000"/>
          <w:sz w:val="24"/>
          <w:szCs w:val="24"/>
        </w:rPr>
      </w:pPr>
      <w:bookmarkStart w:id="7" w:name="_Toc32499185"/>
      <w:r>
        <w:rPr>
          <w:rFonts w:ascii="Times New Roman" w:hAnsi="Times New Roman" w:hint="eastAsia"/>
          <w:b w:val="0"/>
          <w:color w:val="000000"/>
          <w:sz w:val="24"/>
          <w:szCs w:val="24"/>
        </w:rPr>
        <w:t>五、价值时点</w:t>
      </w:r>
      <w:bookmarkEnd w:id="7"/>
    </w:p>
    <w:p w:rsidR="00473DDF" w:rsidRDefault="00473DDF" w:rsidP="00822204">
      <w:pPr>
        <w:pStyle w:val="PlainText"/>
        <w:spacing w:beforeLines="25" w:afterLines="25" w:line="360" w:lineRule="auto"/>
        <w:ind w:firstLine="555"/>
        <w:rPr>
          <w:rFonts w:ascii="Times New Roman" w:hAnsi="Times New Roman"/>
          <w:color w:val="000000"/>
          <w:sz w:val="24"/>
        </w:rPr>
      </w:pPr>
      <w:r>
        <w:rPr>
          <w:rFonts w:ascii="Times New Roman" w:hAnsi="Times New Roman" w:hint="eastAsia"/>
          <w:color w:val="000000"/>
          <w:sz w:val="24"/>
        </w:rPr>
        <w:t>本次估价是对估价对象现时状况下的房地产市场价值进行估价，进而为人民法院确定财产处置参考价提供参考依据。因此，价值时点不宜选择过去或未来的某一时间，而应选择现在的时间。</w:t>
      </w:r>
    </w:p>
    <w:p w:rsidR="00473DDF" w:rsidRDefault="00473DDF" w:rsidP="00822204">
      <w:pPr>
        <w:pStyle w:val="PlainText"/>
        <w:spacing w:beforeLines="25" w:afterLines="25" w:line="360" w:lineRule="auto"/>
        <w:ind w:firstLine="555"/>
        <w:rPr>
          <w:rFonts w:ascii="Times New Roman" w:hAnsi="Times New Roman"/>
          <w:color w:val="000000"/>
          <w:sz w:val="24"/>
        </w:rPr>
      </w:pPr>
      <w:r>
        <w:rPr>
          <w:rFonts w:ascii="Times New Roman" w:hAnsi="Times New Roman" w:hint="eastAsia"/>
          <w:color w:val="000000"/>
          <w:sz w:val="24"/>
        </w:rPr>
        <w:t>依据估价目的，以估价人员实地查勘完成之日作为价值时点，即</w:t>
      </w:r>
      <w:r>
        <w:rPr>
          <w:rFonts w:ascii="Times New Roman" w:hAnsi="Times New Roman"/>
          <w:color w:val="000000"/>
          <w:sz w:val="24"/>
        </w:rPr>
        <w:t>2020</w:t>
      </w:r>
      <w:r>
        <w:rPr>
          <w:rFonts w:ascii="Times New Roman" w:hAnsi="Times New Roman" w:hint="eastAsia"/>
          <w:color w:val="000000"/>
          <w:sz w:val="24"/>
        </w:rPr>
        <w:t>年</w:t>
      </w:r>
      <w:r>
        <w:rPr>
          <w:rFonts w:ascii="Times New Roman" w:hAnsi="Times New Roman"/>
          <w:color w:val="000000"/>
          <w:sz w:val="24"/>
        </w:rPr>
        <w:t>1</w:t>
      </w:r>
      <w:r>
        <w:rPr>
          <w:rFonts w:ascii="Times New Roman" w:hAnsi="Times New Roman" w:hint="eastAsia"/>
          <w:color w:val="000000"/>
          <w:sz w:val="24"/>
        </w:rPr>
        <w:t>月</w:t>
      </w:r>
      <w:r>
        <w:rPr>
          <w:rFonts w:ascii="Times New Roman" w:hAnsi="Times New Roman"/>
          <w:color w:val="000000"/>
          <w:sz w:val="24"/>
        </w:rPr>
        <w:t>17</w:t>
      </w:r>
      <w:r>
        <w:rPr>
          <w:rFonts w:ascii="Times New Roman" w:hAnsi="Times New Roman" w:hint="eastAsia"/>
          <w:color w:val="000000"/>
          <w:sz w:val="24"/>
        </w:rPr>
        <w:t>日。</w:t>
      </w:r>
    </w:p>
    <w:p w:rsidR="00473DDF" w:rsidRDefault="00473DDF" w:rsidP="00822204">
      <w:pPr>
        <w:pStyle w:val="Heading2"/>
        <w:spacing w:beforeLines="50" w:afterLines="50" w:line="360" w:lineRule="auto"/>
        <w:ind w:firstLineChars="200" w:firstLine="480"/>
        <w:rPr>
          <w:rFonts w:ascii="Times New Roman" w:hAnsi="Times New Roman"/>
          <w:b w:val="0"/>
          <w:color w:val="FF9900"/>
          <w:sz w:val="24"/>
          <w:szCs w:val="24"/>
        </w:rPr>
      </w:pPr>
      <w:bookmarkStart w:id="8" w:name="_Toc32499186"/>
      <w:r>
        <w:rPr>
          <w:rFonts w:ascii="Times New Roman" w:hAnsi="Times New Roman" w:hint="eastAsia"/>
          <w:b w:val="0"/>
          <w:color w:val="000000"/>
          <w:sz w:val="24"/>
          <w:szCs w:val="24"/>
        </w:rPr>
        <w:t>六、</w:t>
      </w:r>
      <w:r>
        <w:rPr>
          <w:rFonts w:ascii="Times New Roman" w:hAnsi="Times New Roman" w:hint="eastAsia"/>
          <w:b w:val="0"/>
          <w:sz w:val="24"/>
          <w:szCs w:val="24"/>
        </w:rPr>
        <w:t>价值类型</w:t>
      </w:r>
      <w:bookmarkEnd w:id="8"/>
    </w:p>
    <w:p w:rsidR="00473DDF" w:rsidRDefault="00473DDF" w:rsidP="00822204">
      <w:pPr>
        <w:pStyle w:val="PlainText"/>
        <w:spacing w:beforeLines="25" w:afterLines="25" w:line="360" w:lineRule="auto"/>
        <w:ind w:firstLineChars="200" w:firstLine="480"/>
        <w:rPr>
          <w:rFonts w:ascii="Times New Roman" w:hAnsi="Times New Roman"/>
          <w:sz w:val="24"/>
        </w:rPr>
      </w:pPr>
      <w:r>
        <w:rPr>
          <w:rFonts w:ascii="Times New Roman" w:hAnsi="Times New Roman" w:hint="eastAsia"/>
          <w:sz w:val="24"/>
        </w:rPr>
        <w:t>本次评估的估价对象房地产价值类型是市场价值。</w:t>
      </w:r>
    </w:p>
    <w:p w:rsidR="00473DDF" w:rsidRDefault="00473DDF" w:rsidP="00822204">
      <w:pPr>
        <w:pStyle w:val="PlainText"/>
        <w:spacing w:beforeLines="25" w:afterLines="25" w:line="360" w:lineRule="auto"/>
        <w:ind w:firstLineChars="200" w:firstLine="480"/>
        <w:rPr>
          <w:rFonts w:ascii="Times New Roman" w:hAnsi="Times New Roman"/>
          <w:sz w:val="24"/>
        </w:rPr>
      </w:pPr>
      <w:r>
        <w:rPr>
          <w:rFonts w:ascii="Times New Roman" w:hAnsi="Times New Roman" w:hint="eastAsia"/>
          <w:sz w:val="24"/>
        </w:rPr>
        <w:t>市场价值是指评估对象经适当营销后，由熟悉情况、谨慎行事且不受强迫的交易双方，以公平交易方式于价值时点自愿进行交易的金额，选用比较法、成本法、收益法、假设开发法等估价方法评估得出。</w:t>
      </w:r>
    </w:p>
    <w:p w:rsidR="00473DDF" w:rsidRDefault="00473DDF" w:rsidP="00822204">
      <w:pPr>
        <w:pStyle w:val="Heading2"/>
        <w:spacing w:beforeLines="50" w:afterLines="50" w:line="360" w:lineRule="auto"/>
        <w:ind w:firstLineChars="200" w:firstLine="480"/>
        <w:rPr>
          <w:rFonts w:ascii="Times New Roman" w:hAnsi="Times New Roman"/>
          <w:b w:val="0"/>
          <w:color w:val="000000"/>
          <w:sz w:val="24"/>
          <w:szCs w:val="24"/>
        </w:rPr>
      </w:pPr>
      <w:bookmarkStart w:id="9" w:name="_Toc32499187"/>
      <w:r>
        <w:rPr>
          <w:rFonts w:ascii="Times New Roman" w:hAnsi="Times New Roman" w:hint="eastAsia"/>
          <w:b w:val="0"/>
          <w:color w:val="000000"/>
          <w:sz w:val="24"/>
          <w:szCs w:val="24"/>
        </w:rPr>
        <w:t>七、估价原则</w:t>
      </w:r>
      <w:bookmarkEnd w:id="9"/>
    </w:p>
    <w:p w:rsidR="00473DDF" w:rsidRDefault="00473DDF" w:rsidP="00822204">
      <w:pPr>
        <w:pStyle w:val="PlainText"/>
        <w:spacing w:beforeLines="25" w:afterLines="25" w:line="360" w:lineRule="auto"/>
        <w:ind w:firstLineChars="187" w:firstLine="434"/>
        <w:rPr>
          <w:rFonts w:ascii="Times New Roman" w:hAnsi="Times New Roman"/>
          <w:color w:val="000000"/>
          <w:spacing w:val="-4"/>
          <w:sz w:val="24"/>
        </w:rPr>
      </w:pPr>
      <w:r>
        <w:rPr>
          <w:rFonts w:ascii="Times New Roman" w:hAnsi="Times New Roman" w:hint="eastAsia"/>
          <w:color w:val="000000"/>
          <w:spacing w:val="-4"/>
          <w:sz w:val="24"/>
        </w:rPr>
        <w:t>（一）独立、客观、公正原则：要求站在中立的立场上，实事求是、公平正直地评估出对各方估价利害关系人均是公平合理的价值或价格的原则。</w:t>
      </w:r>
    </w:p>
    <w:p w:rsidR="00473DDF" w:rsidRDefault="00473DDF" w:rsidP="00822204">
      <w:pPr>
        <w:pStyle w:val="PlainText"/>
        <w:spacing w:beforeLines="25" w:afterLines="25" w:line="360" w:lineRule="auto"/>
        <w:ind w:firstLineChars="187" w:firstLine="434"/>
        <w:rPr>
          <w:rFonts w:ascii="Times New Roman" w:hAnsi="Times New Roman"/>
          <w:color w:val="000000"/>
          <w:spacing w:val="-4"/>
          <w:sz w:val="24"/>
        </w:rPr>
      </w:pPr>
      <w:r>
        <w:rPr>
          <w:rFonts w:ascii="Times New Roman" w:hAnsi="Times New Roman" w:hint="eastAsia"/>
          <w:color w:val="000000"/>
          <w:spacing w:val="-4"/>
          <w:sz w:val="24"/>
        </w:rPr>
        <w:t>（二）合法原则：要求估价结果是在依法判定的估价对象状况下的价值或价格的原则。</w:t>
      </w:r>
    </w:p>
    <w:p w:rsidR="00473DDF" w:rsidRDefault="00473DDF" w:rsidP="00822204">
      <w:pPr>
        <w:pStyle w:val="PlainText"/>
        <w:spacing w:beforeLines="25" w:afterLines="25" w:line="360" w:lineRule="auto"/>
        <w:ind w:firstLineChars="187" w:firstLine="434"/>
        <w:rPr>
          <w:rFonts w:ascii="Times New Roman" w:hAnsi="Times New Roman"/>
          <w:color w:val="000000"/>
          <w:spacing w:val="-4"/>
          <w:sz w:val="24"/>
        </w:rPr>
      </w:pPr>
      <w:r>
        <w:rPr>
          <w:rFonts w:ascii="Times New Roman" w:hAnsi="Times New Roman" w:hint="eastAsia"/>
          <w:color w:val="000000"/>
          <w:spacing w:val="-4"/>
          <w:sz w:val="24"/>
        </w:rPr>
        <w:t>（三）价值时点原则：要求估价结果是在根据估价目的确定的某一特定时间的价值或价格的原则。</w:t>
      </w:r>
    </w:p>
    <w:p w:rsidR="00473DDF" w:rsidRDefault="00473DDF" w:rsidP="00822204">
      <w:pPr>
        <w:pStyle w:val="PlainText"/>
        <w:spacing w:beforeLines="25" w:afterLines="25" w:line="360" w:lineRule="auto"/>
        <w:ind w:firstLineChars="187" w:firstLine="434"/>
        <w:rPr>
          <w:rFonts w:ascii="Times New Roman" w:hAnsi="Times New Roman"/>
          <w:color w:val="000000"/>
          <w:spacing w:val="-4"/>
          <w:sz w:val="24"/>
        </w:rPr>
      </w:pPr>
      <w:r>
        <w:rPr>
          <w:rFonts w:ascii="Times New Roman" w:hAnsi="Times New Roman" w:hint="eastAsia"/>
          <w:color w:val="000000"/>
          <w:spacing w:val="-4"/>
          <w:sz w:val="24"/>
        </w:rPr>
        <w:t>（四）替代原则：要求估价结果与估价对象的类似房地产在同等条件下的价值或价格偏差在合理范围内的原则。</w:t>
      </w:r>
    </w:p>
    <w:p w:rsidR="00473DDF" w:rsidRDefault="00473DDF" w:rsidP="00822204">
      <w:pPr>
        <w:pStyle w:val="PlainText"/>
        <w:spacing w:beforeLines="25" w:afterLines="25" w:line="360" w:lineRule="auto"/>
        <w:ind w:firstLineChars="187" w:firstLine="434"/>
        <w:rPr>
          <w:rFonts w:ascii="Times New Roman" w:hAnsi="Times New Roman"/>
          <w:color w:val="000000"/>
          <w:spacing w:val="-4"/>
          <w:sz w:val="24"/>
        </w:rPr>
      </w:pPr>
      <w:r>
        <w:rPr>
          <w:rFonts w:ascii="Times New Roman" w:hAnsi="Times New Roman" w:hint="eastAsia"/>
          <w:color w:val="000000"/>
          <w:spacing w:val="-4"/>
          <w:sz w:val="24"/>
        </w:rPr>
        <w:t>（五）最高最佳利用原则：要求估价结果是在估价对象最高最佳利用状况下的价值或价格的原则。</w:t>
      </w:r>
    </w:p>
    <w:p w:rsidR="00473DDF" w:rsidRDefault="00473DDF" w:rsidP="00822204">
      <w:pPr>
        <w:pStyle w:val="Heading2"/>
        <w:spacing w:beforeLines="50" w:afterLines="50" w:line="360" w:lineRule="auto"/>
        <w:ind w:firstLineChars="200" w:firstLine="480"/>
        <w:rPr>
          <w:rFonts w:ascii="Times New Roman" w:hAnsi="Times New Roman"/>
          <w:b w:val="0"/>
          <w:color w:val="000000"/>
          <w:sz w:val="24"/>
          <w:szCs w:val="24"/>
        </w:rPr>
      </w:pPr>
      <w:bookmarkStart w:id="10" w:name="_Toc32499188"/>
      <w:r>
        <w:rPr>
          <w:rFonts w:ascii="Times New Roman" w:hAnsi="Times New Roman" w:hint="eastAsia"/>
          <w:b w:val="0"/>
          <w:color w:val="000000"/>
          <w:sz w:val="24"/>
          <w:szCs w:val="24"/>
        </w:rPr>
        <w:t>八、估价依据</w:t>
      </w:r>
      <w:bookmarkEnd w:id="10"/>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hint="eastAsia"/>
          <w:color w:val="000000"/>
          <w:sz w:val="24"/>
        </w:rPr>
        <w:t>（一）有关法律、法规和政策</w:t>
      </w:r>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color w:val="000000"/>
          <w:sz w:val="24"/>
        </w:rPr>
        <w:t>1</w:t>
      </w:r>
      <w:r>
        <w:rPr>
          <w:rFonts w:ascii="Times New Roman" w:hAnsi="Times New Roman" w:hint="eastAsia"/>
          <w:color w:val="000000"/>
          <w:sz w:val="24"/>
        </w:rPr>
        <w:t>、《中华人民共和国城市房地产管理法》</w:t>
      </w:r>
    </w:p>
    <w:p w:rsidR="00473DDF" w:rsidRDefault="00473DDF" w:rsidP="00822204">
      <w:pPr>
        <w:pStyle w:val="PlainText"/>
        <w:spacing w:beforeLines="25" w:afterLines="25" w:line="360" w:lineRule="auto"/>
        <w:ind w:leftChars="514" w:left="1079"/>
        <w:rPr>
          <w:rFonts w:ascii="Times New Roman" w:hAnsi="Times New Roman"/>
          <w:color w:val="000000"/>
          <w:sz w:val="24"/>
        </w:rPr>
      </w:pPr>
      <w:r>
        <w:rPr>
          <w:rFonts w:ascii="Times New Roman" w:hAnsi="Times New Roman" w:hint="eastAsia"/>
          <w:color w:val="000000"/>
          <w:sz w:val="18"/>
          <w:szCs w:val="18"/>
        </w:rPr>
        <w:t>（</w:t>
      </w:r>
      <w:r>
        <w:rPr>
          <w:rFonts w:ascii="Times New Roman" w:hAnsi="Times New Roman"/>
          <w:color w:val="000000"/>
          <w:sz w:val="18"/>
          <w:szCs w:val="18"/>
        </w:rPr>
        <w:t>1994</w:t>
      </w:r>
      <w:r>
        <w:rPr>
          <w:rFonts w:ascii="Times New Roman" w:hAnsi="Times New Roman" w:hint="eastAsia"/>
          <w:color w:val="000000"/>
          <w:sz w:val="18"/>
          <w:szCs w:val="18"/>
        </w:rPr>
        <w:t>年</w:t>
      </w:r>
      <w:r>
        <w:rPr>
          <w:rFonts w:ascii="Times New Roman" w:hAnsi="Times New Roman"/>
          <w:color w:val="000000"/>
          <w:sz w:val="18"/>
          <w:szCs w:val="18"/>
        </w:rPr>
        <w:t>4</w:t>
      </w:r>
      <w:r>
        <w:rPr>
          <w:rFonts w:ascii="Times New Roman" w:hAnsi="Times New Roman" w:hint="eastAsia"/>
          <w:color w:val="000000"/>
          <w:sz w:val="18"/>
          <w:szCs w:val="18"/>
        </w:rPr>
        <w:t>月</w:t>
      </w:r>
      <w:r>
        <w:rPr>
          <w:rFonts w:ascii="Times New Roman" w:hAnsi="Times New Roman"/>
          <w:color w:val="000000"/>
          <w:sz w:val="18"/>
          <w:szCs w:val="18"/>
        </w:rPr>
        <w:t>17</w:t>
      </w:r>
      <w:r>
        <w:rPr>
          <w:rFonts w:ascii="Times New Roman" w:hAnsi="Times New Roman" w:hint="eastAsia"/>
          <w:color w:val="000000"/>
          <w:sz w:val="18"/>
          <w:szCs w:val="18"/>
        </w:rPr>
        <w:t>日第八届全国人民代表大会常务委员会第八次会议通过，根据</w:t>
      </w:r>
      <w:r>
        <w:rPr>
          <w:rFonts w:ascii="Times New Roman" w:hAnsi="Times New Roman"/>
          <w:color w:val="000000"/>
          <w:sz w:val="18"/>
          <w:szCs w:val="18"/>
        </w:rPr>
        <w:t>2007</w:t>
      </w:r>
      <w:r>
        <w:rPr>
          <w:rFonts w:ascii="Times New Roman" w:hAnsi="Times New Roman" w:hint="eastAsia"/>
          <w:color w:val="000000"/>
          <w:sz w:val="18"/>
          <w:szCs w:val="18"/>
        </w:rPr>
        <w:t>年</w:t>
      </w:r>
      <w:r>
        <w:rPr>
          <w:rFonts w:ascii="Times New Roman" w:hAnsi="Times New Roman"/>
          <w:color w:val="000000"/>
          <w:sz w:val="18"/>
          <w:szCs w:val="18"/>
        </w:rPr>
        <w:t>8</w:t>
      </w:r>
      <w:r>
        <w:rPr>
          <w:rFonts w:ascii="Times New Roman" w:hAnsi="Times New Roman" w:hint="eastAsia"/>
          <w:color w:val="000000"/>
          <w:sz w:val="18"/>
          <w:szCs w:val="18"/>
        </w:rPr>
        <w:t>月</w:t>
      </w:r>
      <w:r>
        <w:rPr>
          <w:rFonts w:ascii="Times New Roman" w:hAnsi="Times New Roman"/>
          <w:color w:val="000000"/>
          <w:sz w:val="18"/>
          <w:szCs w:val="18"/>
        </w:rPr>
        <w:t>30</w:t>
      </w:r>
      <w:r>
        <w:rPr>
          <w:rFonts w:ascii="Times New Roman" w:hAnsi="Times New Roman" w:hint="eastAsia"/>
          <w:color w:val="000000"/>
          <w:sz w:val="18"/>
          <w:szCs w:val="18"/>
        </w:rPr>
        <w:t>日第十届全国人民代表大会常务委员会第二十九次会议《关于修改〈中华人民共和国城市房地产管理法〉的决定》修正，中华人民共和国主席令第</w:t>
      </w:r>
      <w:r>
        <w:rPr>
          <w:rFonts w:ascii="Times New Roman" w:hAnsi="Times New Roman"/>
          <w:color w:val="000000"/>
          <w:sz w:val="18"/>
          <w:szCs w:val="18"/>
        </w:rPr>
        <w:t>72</w:t>
      </w:r>
      <w:r>
        <w:rPr>
          <w:rFonts w:ascii="Times New Roman" w:hAnsi="Times New Roman" w:hint="eastAsia"/>
          <w:color w:val="000000"/>
          <w:sz w:val="18"/>
          <w:szCs w:val="18"/>
        </w:rPr>
        <w:t>号公布，自公布之日起施行。）</w:t>
      </w:r>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color w:val="000000"/>
          <w:sz w:val="24"/>
        </w:rPr>
        <w:t>2</w:t>
      </w:r>
      <w:r>
        <w:rPr>
          <w:rFonts w:ascii="Times New Roman" w:hAnsi="Times New Roman" w:hint="eastAsia"/>
          <w:color w:val="000000"/>
          <w:sz w:val="24"/>
        </w:rPr>
        <w:t>、《中华人民共和国物权法》</w:t>
      </w:r>
    </w:p>
    <w:p w:rsidR="00473DDF" w:rsidRDefault="00473DDF" w:rsidP="00822204">
      <w:pPr>
        <w:pStyle w:val="PlainText"/>
        <w:spacing w:beforeLines="25" w:afterLines="25" w:line="360" w:lineRule="auto"/>
        <w:ind w:firstLineChars="600" w:firstLine="1080"/>
        <w:rPr>
          <w:rFonts w:ascii="Times New Roman" w:hAnsi="Times New Roman"/>
          <w:sz w:val="18"/>
          <w:szCs w:val="18"/>
        </w:rPr>
      </w:pPr>
      <w:r>
        <w:rPr>
          <w:rFonts w:ascii="Times New Roman" w:hAnsi="Times New Roman" w:hint="eastAsia"/>
          <w:sz w:val="18"/>
          <w:szCs w:val="18"/>
        </w:rPr>
        <w:t>（第十届</w:t>
      </w:r>
      <w:hyperlink r:id="rId19" w:tgtFrame="http://baike.baidu.com/view/_blank" w:history="1">
        <w:r>
          <w:rPr>
            <w:rFonts w:ascii="Times New Roman" w:hAnsi="Times New Roman" w:hint="eastAsia"/>
            <w:sz w:val="18"/>
            <w:szCs w:val="18"/>
          </w:rPr>
          <w:t>全国人民代表大会</w:t>
        </w:r>
      </w:hyperlink>
      <w:r>
        <w:rPr>
          <w:rFonts w:ascii="Times New Roman" w:hAnsi="Times New Roman" w:hint="eastAsia"/>
          <w:sz w:val="18"/>
          <w:szCs w:val="18"/>
        </w:rPr>
        <w:t>第五次会议通过，</w:t>
      </w:r>
      <w:r>
        <w:rPr>
          <w:rFonts w:ascii="Times New Roman" w:hAnsi="Times New Roman"/>
          <w:sz w:val="18"/>
          <w:szCs w:val="18"/>
        </w:rPr>
        <w:t>2007</w:t>
      </w:r>
      <w:r>
        <w:rPr>
          <w:rFonts w:ascii="Times New Roman" w:hAnsi="Times New Roman" w:hint="eastAsia"/>
          <w:sz w:val="18"/>
          <w:szCs w:val="18"/>
        </w:rPr>
        <w:t>年</w:t>
      </w:r>
      <w:r>
        <w:rPr>
          <w:rFonts w:ascii="Times New Roman" w:hAnsi="Times New Roman"/>
          <w:sz w:val="18"/>
          <w:szCs w:val="18"/>
        </w:rPr>
        <w:t>3</w:t>
      </w:r>
      <w:r>
        <w:rPr>
          <w:rFonts w:ascii="Times New Roman" w:hAnsi="Times New Roman" w:hint="eastAsia"/>
          <w:sz w:val="18"/>
          <w:szCs w:val="18"/>
        </w:rPr>
        <w:t>月</w:t>
      </w:r>
      <w:r>
        <w:rPr>
          <w:rFonts w:ascii="Times New Roman" w:hAnsi="Times New Roman"/>
          <w:sz w:val="18"/>
          <w:szCs w:val="18"/>
        </w:rPr>
        <w:t>16</w:t>
      </w:r>
      <w:r>
        <w:rPr>
          <w:rFonts w:ascii="Times New Roman" w:hAnsi="Times New Roman" w:hint="eastAsia"/>
          <w:sz w:val="18"/>
          <w:szCs w:val="18"/>
        </w:rPr>
        <w:t>日中华人民共和国主席令第六</w:t>
      </w:r>
    </w:p>
    <w:p w:rsidR="00473DDF" w:rsidRDefault="00473DDF" w:rsidP="00822204">
      <w:pPr>
        <w:pStyle w:val="PlainText"/>
        <w:spacing w:beforeLines="25" w:afterLines="25" w:line="360" w:lineRule="auto"/>
        <w:ind w:firstLineChars="600" w:firstLine="1080"/>
        <w:rPr>
          <w:rFonts w:ascii="Times New Roman" w:hAnsi="Times New Roman"/>
          <w:sz w:val="18"/>
          <w:szCs w:val="18"/>
        </w:rPr>
      </w:pPr>
      <w:r>
        <w:rPr>
          <w:rFonts w:ascii="Times New Roman" w:hAnsi="Times New Roman" w:hint="eastAsia"/>
          <w:sz w:val="18"/>
          <w:szCs w:val="18"/>
        </w:rPr>
        <w:t>十二号公布，自</w:t>
      </w:r>
      <w:r>
        <w:rPr>
          <w:rFonts w:ascii="Times New Roman" w:hAnsi="Times New Roman"/>
          <w:sz w:val="18"/>
          <w:szCs w:val="18"/>
        </w:rPr>
        <w:t>2007</w:t>
      </w:r>
      <w:r>
        <w:rPr>
          <w:rFonts w:ascii="Times New Roman" w:hAnsi="Times New Roman" w:hint="eastAsia"/>
          <w:sz w:val="18"/>
          <w:szCs w:val="18"/>
        </w:rPr>
        <w:t>年</w:t>
      </w:r>
      <w:r>
        <w:rPr>
          <w:rFonts w:ascii="Times New Roman" w:hAnsi="Times New Roman"/>
          <w:sz w:val="18"/>
          <w:szCs w:val="18"/>
        </w:rPr>
        <w:t>10</w:t>
      </w:r>
      <w:r>
        <w:rPr>
          <w:rFonts w:ascii="Times New Roman" w:hAnsi="Times New Roman" w:hint="eastAsia"/>
          <w:sz w:val="18"/>
          <w:szCs w:val="18"/>
        </w:rPr>
        <w:t>月</w:t>
      </w:r>
      <w:r>
        <w:rPr>
          <w:rFonts w:ascii="Times New Roman" w:hAnsi="Times New Roman"/>
          <w:sz w:val="18"/>
          <w:szCs w:val="18"/>
        </w:rPr>
        <w:t>1</w:t>
      </w:r>
      <w:r>
        <w:rPr>
          <w:rFonts w:ascii="Times New Roman" w:hAnsi="Times New Roman" w:hint="eastAsia"/>
          <w:sz w:val="18"/>
          <w:szCs w:val="18"/>
        </w:rPr>
        <w:t>日起施行）</w:t>
      </w:r>
    </w:p>
    <w:p w:rsidR="00473DDF" w:rsidRDefault="00473DDF" w:rsidP="00822204">
      <w:pPr>
        <w:pStyle w:val="PlainText"/>
        <w:spacing w:beforeLines="25" w:afterLines="25" w:line="360" w:lineRule="auto"/>
        <w:ind w:left="450"/>
        <w:rPr>
          <w:rFonts w:ascii="Times New Roman" w:hAnsi="Times New Roman"/>
          <w:color w:val="000000"/>
          <w:sz w:val="18"/>
          <w:szCs w:val="18"/>
        </w:rPr>
      </w:pPr>
      <w:r>
        <w:rPr>
          <w:rFonts w:ascii="Times New Roman" w:hAnsi="Times New Roman"/>
          <w:color w:val="000000"/>
          <w:sz w:val="24"/>
        </w:rPr>
        <w:t>3</w:t>
      </w:r>
      <w:r>
        <w:rPr>
          <w:rFonts w:ascii="Times New Roman" w:hAnsi="Times New Roman" w:hint="eastAsia"/>
          <w:color w:val="000000"/>
          <w:sz w:val="24"/>
        </w:rPr>
        <w:t>、《中华人民共和国资产评估法》（</w:t>
      </w:r>
      <w:r>
        <w:rPr>
          <w:rFonts w:ascii="Times New Roman" w:hAnsi="Times New Roman" w:hint="eastAsia"/>
          <w:color w:val="000000"/>
          <w:sz w:val="18"/>
          <w:szCs w:val="18"/>
        </w:rPr>
        <w:t>中华人民共和国第十二届全国人民代表大会常务委</w:t>
      </w:r>
    </w:p>
    <w:p w:rsidR="00473DDF" w:rsidRDefault="00473DDF" w:rsidP="00822204">
      <w:pPr>
        <w:pStyle w:val="PlainText"/>
        <w:spacing w:beforeLines="25" w:afterLines="25" w:line="360" w:lineRule="auto"/>
        <w:ind w:firstLineChars="600" w:firstLine="1080"/>
        <w:rPr>
          <w:rFonts w:ascii="Times New Roman" w:hAnsi="Times New Roman"/>
          <w:color w:val="000000"/>
          <w:sz w:val="24"/>
        </w:rPr>
      </w:pPr>
      <w:r>
        <w:rPr>
          <w:rFonts w:ascii="Times New Roman" w:hAnsi="Times New Roman" w:hint="eastAsia"/>
          <w:color w:val="000000"/>
          <w:sz w:val="18"/>
          <w:szCs w:val="18"/>
        </w:rPr>
        <w:t>员会第二十一次会议于</w:t>
      </w:r>
      <w:r>
        <w:rPr>
          <w:rFonts w:ascii="Times New Roman" w:hAnsi="Times New Roman"/>
          <w:color w:val="000000"/>
          <w:sz w:val="18"/>
          <w:szCs w:val="18"/>
        </w:rPr>
        <w:t>2016</w:t>
      </w:r>
      <w:r>
        <w:rPr>
          <w:rFonts w:ascii="Times New Roman" w:hAnsi="Times New Roman" w:hint="eastAsia"/>
          <w:color w:val="000000"/>
          <w:sz w:val="18"/>
          <w:szCs w:val="18"/>
        </w:rPr>
        <w:t>年</w:t>
      </w:r>
      <w:r>
        <w:rPr>
          <w:rFonts w:ascii="Times New Roman" w:hAnsi="Times New Roman"/>
          <w:color w:val="000000"/>
          <w:sz w:val="18"/>
          <w:szCs w:val="18"/>
        </w:rPr>
        <w:t>7</w:t>
      </w:r>
      <w:r>
        <w:rPr>
          <w:rFonts w:ascii="Times New Roman" w:hAnsi="Times New Roman" w:hint="eastAsia"/>
          <w:color w:val="000000"/>
          <w:sz w:val="18"/>
          <w:szCs w:val="18"/>
        </w:rPr>
        <w:t>月</w:t>
      </w:r>
      <w:r>
        <w:rPr>
          <w:rFonts w:ascii="Times New Roman" w:hAnsi="Times New Roman"/>
          <w:color w:val="000000"/>
          <w:sz w:val="18"/>
          <w:szCs w:val="18"/>
        </w:rPr>
        <w:t>2</w:t>
      </w:r>
      <w:r>
        <w:rPr>
          <w:rFonts w:ascii="Times New Roman" w:hAnsi="Times New Roman" w:hint="eastAsia"/>
          <w:color w:val="000000"/>
          <w:sz w:val="18"/>
          <w:szCs w:val="18"/>
        </w:rPr>
        <w:t>日通过，自</w:t>
      </w:r>
      <w:r>
        <w:rPr>
          <w:rFonts w:ascii="Times New Roman" w:hAnsi="Times New Roman"/>
          <w:color w:val="000000"/>
          <w:sz w:val="18"/>
          <w:szCs w:val="18"/>
        </w:rPr>
        <w:t>2016</w:t>
      </w:r>
      <w:r>
        <w:rPr>
          <w:rFonts w:ascii="Times New Roman" w:hAnsi="Times New Roman" w:hint="eastAsia"/>
          <w:color w:val="000000"/>
          <w:sz w:val="18"/>
          <w:szCs w:val="18"/>
        </w:rPr>
        <w:t>年</w:t>
      </w:r>
      <w:r>
        <w:rPr>
          <w:rFonts w:ascii="Times New Roman" w:hAnsi="Times New Roman"/>
          <w:color w:val="000000"/>
          <w:sz w:val="18"/>
          <w:szCs w:val="18"/>
        </w:rPr>
        <w:t>12</w:t>
      </w:r>
      <w:r>
        <w:rPr>
          <w:rFonts w:ascii="Times New Roman" w:hAnsi="Times New Roman" w:hint="eastAsia"/>
          <w:color w:val="000000"/>
          <w:sz w:val="18"/>
          <w:szCs w:val="18"/>
        </w:rPr>
        <w:t>月</w:t>
      </w:r>
      <w:r>
        <w:rPr>
          <w:rFonts w:ascii="Times New Roman" w:hAnsi="Times New Roman"/>
          <w:color w:val="000000"/>
          <w:sz w:val="18"/>
          <w:szCs w:val="18"/>
        </w:rPr>
        <w:t>1</w:t>
      </w:r>
      <w:r>
        <w:rPr>
          <w:rFonts w:ascii="Times New Roman" w:hAnsi="Times New Roman" w:hint="eastAsia"/>
          <w:color w:val="000000"/>
          <w:sz w:val="18"/>
          <w:szCs w:val="18"/>
        </w:rPr>
        <w:t>日起施行</w:t>
      </w:r>
      <w:r>
        <w:rPr>
          <w:rFonts w:ascii="Arial" w:hAnsi="Arial" w:cs="Arial" w:hint="eastAsia"/>
          <w:color w:val="333333"/>
          <w:sz w:val="18"/>
          <w:szCs w:val="18"/>
          <w:shd w:val="clear" w:color="auto" w:fill="FFFFFF"/>
        </w:rPr>
        <w:t>）</w:t>
      </w:r>
    </w:p>
    <w:p w:rsidR="00473DDF" w:rsidRDefault="00473DDF" w:rsidP="00822204">
      <w:pPr>
        <w:pStyle w:val="PlainText"/>
        <w:numPr>
          <w:ilvl w:val="0"/>
          <w:numId w:val="3"/>
        </w:numPr>
        <w:spacing w:beforeLines="25" w:afterLines="25" w:line="360" w:lineRule="auto"/>
        <w:ind w:leftChars="214" w:left="689" w:hangingChars="100" w:hanging="240"/>
        <w:rPr>
          <w:rFonts w:ascii="Times New Roman" w:hAnsi="Times New Roman"/>
          <w:color w:val="000000"/>
          <w:sz w:val="24"/>
        </w:rPr>
      </w:pPr>
      <w:r>
        <w:rPr>
          <w:rFonts w:ascii="Times New Roman" w:hAnsi="Times New Roman" w:hint="eastAsia"/>
          <w:color w:val="000000"/>
          <w:sz w:val="24"/>
        </w:rPr>
        <w:t>《最高人民法院对外委托鉴定、评估、拍卖等工作管理规定》</w:t>
      </w:r>
    </w:p>
    <w:p w:rsidR="00473DDF" w:rsidRDefault="00473DDF" w:rsidP="00822204">
      <w:pPr>
        <w:pStyle w:val="PlainText"/>
        <w:spacing w:beforeLines="25" w:afterLines="25" w:line="360" w:lineRule="auto"/>
        <w:ind w:leftChars="114" w:left="239" w:firstLineChars="300" w:firstLine="720"/>
        <w:rPr>
          <w:rFonts w:ascii="Times New Roman" w:hAnsi="Times New Roman"/>
          <w:color w:val="000000"/>
          <w:sz w:val="24"/>
        </w:rPr>
      </w:pPr>
      <w:r>
        <w:rPr>
          <w:rFonts w:ascii="Times New Roman" w:hAnsi="Times New Roman" w:hint="eastAsia"/>
          <w:color w:val="000000"/>
          <w:sz w:val="24"/>
        </w:rPr>
        <w:t>（</w:t>
      </w:r>
      <w:r>
        <w:rPr>
          <w:rFonts w:ascii="Times New Roman" w:hAnsi="Times New Roman" w:hint="eastAsia"/>
          <w:color w:val="000000"/>
          <w:sz w:val="18"/>
          <w:szCs w:val="18"/>
        </w:rPr>
        <w:t>法办发〔</w:t>
      </w:r>
      <w:r>
        <w:rPr>
          <w:rFonts w:ascii="Times New Roman" w:hAnsi="Times New Roman"/>
          <w:color w:val="000000"/>
          <w:sz w:val="18"/>
          <w:szCs w:val="18"/>
        </w:rPr>
        <w:t>2007</w:t>
      </w:r>
      <w:r>
        <w:rPr>
          <w:rFonts w:ascii="Times New Roman" w:hAnsi="Times New Roman" w:hint="eastAsia"/>
          <w:color w:val="000000"/>
          <w:sz w:val="18"/>
          <w:szCs w:val="18"/>
        </w:rPr>
        <w:t>〕</w:t>
      </w:r>
      <w:r>
        <w:rPr>
          <w:rFonts w:ascii="Times New Roman" w:hAnsi="Times New Roman"/>
          <w:color w:val="000000"/>
          <w:sz w:val="18"/>
          <w:szCs w:val="18"/>
        </w:rPr>
        <w:t>5</w:t>
      </w:r>
      <w:r>
        <w:rPr>
          <w:rFonts w:ascii="Times New Roman" w:hAnsi="Times New Roman" w:hint="eastAsia"/>
          <w:color w:val="000000"/>
          <w:sz w:val="18"/>
          <w:szCs w:val="18"/>
        </w:rPr>
        <w:t>号，自</w:t>
      </w:r>
      <w:r>
        <w:rPr>
          <w:rFonts w:ascii="Times New Roman" w:hAnsi="Times New Roman"/>
          <w:color w:val="000000"/>
          <w:sz w:val="18"/>
          <w:szCs w:val="18"/>
        </w:rPr>
        <w:t>2007</w:t>
      </w:r>
      <w:r>
        <w:rPr>
          <w:rFonts w:ascii="Times New Roman" w:hAnsi="Times New Roman" w:hint="eastAsia"/>
          <w:color w:val="000000"/>
          <w:sz w:val="18"/>
          <w:szCs w:val="18"/>
        </w:rPr>
        <w:t>年</w:t>
      </w:r>
      <w:r>
        <w:rPr>
          <w:rFonts w:ascii="Times New Roman" w:hAnsi="Times New Roman"/>
          <w:color w:val="000000"/>
          <w:sz w:val="18"/>
          <w:szCs w:val="18"/>
        </w:rPr>
        <w:t>9</w:t>
      </w:r>
      <w:r>
        <w:rPr>
          <w:rFonts w:ascii="Times New Roman" w:hAnsi="Times New Roman" w:hint="eastAsia"/>
          <w:color w:val="000000"/>
          <w:sz w:val="18"/>
          <w:szCs w:val="18"/>
        </w:rPr>
        <w:t>月</w:t>
      </w:r>
      <w:r>
        <w:rPr>
          <w:rFonts w:ascii="Times New Roman" w:hAnsi="Times New Roman"/>
          <w:color w:val="000000"/>
          <w:sz w:val="18"/>
          <w:szCs w:val="18"/>
        </w:rPr>
        <w:t>l</w:t>
      </w:r>
      <w:r>
        <w:rPr>
          <w:rFonts w:ascii="Times New Roman" w:hAnsi="Times New Roman" w:hint="eastAsia"/>
          <w:color w:val="000000"/>
          <w:sz w:val="18"/>
          <w:szCs w:val="18"/>
        </w:rPr>
        <w:t>日施行</w:t>
      </w:r>
      <w:r>
        <w:rPr>
          <w:rFonts w:ascii="Times New Roman" w:hAnsi="Times New Roman" w:hint="eastAsia"/>
          <w:color w:val="000000"/>
          <w:sz w:val="24"/>
        </w:rPr>
        <w:t>）</w:t>
      </w:r>
    </w:p>
    <w:p w:rsidR="00473DDF" w:rsidRDefault="00473DDF" w:rsidP="00822204">
      <w:pPr>
        <w:pStyle w:val="PlainText"/>
        <w:spacing w:beforeLines="25" w:afterLines="25" w:line="360" w:lineRule="auto"/>
        <w:ind w:leftChars="214" w:left="689" w:hangingChars="100" w:hanging="240"/>
        <w:rPr>
          <w:rFonts w:ascii="Times New Roman" w:hAnsi="Times New Roman"/>
          <w:color w:val="000000"/>
          <w:sz w:val="24"/>
        </w:rPr>
      </w:pPr>
      <w:r>
        <w:rPr>
          <w:rFonts w:ascii="Times New Roman" w:hAnsi="Times New Roman"/>
          <w:color w:val="000000"/>
          <w:sz w:val="24"/>
        </w:rPr>
        <w:t>5</w:t>
      </w:r>
      <w:r>
        <w:rPr>
          <w:rFonts w:ascii="Times New Roman" w:hAnsi="Times New Roman" w:hint="eastAsia"/>
          <w:color w:val="000000"/>
          <w:sz w:val="24"/>
        </w:rPr>
        <w:t>、《最高人民法院关于人民法院民事执行中查封、扣押、冻结财产的规定》</w:t>
      </w:r>
      <w:r>
        <w:rPr>
          <w:rFonts w:ascii="Times New Roman" w:hAnsi="Times New Roman"/>
          <w:color w:val="000000"/>
          <w:sz w:val="24"/>
        </w:rPr>
        <w:t xml:space="preserve"> </w:t>
      </w:r>
      <w:r>
        <w:rPr>
          <w:rFonts w:ascii="Times New Roman" w:hAnsi="Times New Roman" w:hint="eastAsia"/>
          <w:color w:val="000000"/>
          <w:sz w:val="24"/>
        </w:rPr>
        <w:t>（</w:t>
      </w:r>
      <w:r>
        <w:rPr>
          <w:rFonts w:ascii="Times New Roman" w:hAnsi="Times New Roman" w:hint="eastAsia"/>
          <w:color w:val="000000"/>
          <w:sz w:val="18"/>
          <w:szCs w:val="18"/>
        </w:rPr>
        <w:t>法释</w:t>
      </w:r>
      <w:r>
        <w:rPr>
          <w:rFonts w:ascii="Times New Roman" w:hAnsi="Times New Roman"/>
          <w:color w:val="000000"/>
          <w:sz w:val="18"/>
          <w:szCs w:val="18"/>
        </w:rPr>
        <w:t>[2004]15</w:t>
      </w:r>
      <w:r>
        <w:rPr>
          <w:rFonts w:ascii="Times New Roman" w:hAnsi="Times New Roman" w:hint="eastAsia"/>
          <w:color w:val="000000"/>
          <w:sz w:val="18"/>
          <w:szCs w:val="18"/>
        </w:rPr>
        <w:t>号，自</w:t>
      </w:r>
      <w:r>
        <w:rPr>
          <w:rFonts w:ascii="Times New Roman" w:hAnsi="Times New Roman"/>
          <w:color w:val="000000"/>
          <w:sz w:val="18"/>
          <w:szCs w:val="18"/>
        </w:rPr>
        <w:t>2005</w:t>
      </w:r>
      <w:r>
        <w:rPr>
          <w:rFonts w:ascii="Times New Roman" w:hAnsi="Times New Roman" w:hint="eastAsia"/>
          <w:color w:val="000000"/>
          <w:sz w:val="18"/>
          <w:szCs w:val="18"/>
        </w:rPr>
        <w:t>年</w:t>
      </w:r>
      <w:r>
        <w:rPr>
          <w:rFonts w:ascii="Times New Roman" w:hAnsi="Times New Roman"/>
          <w:color w:val="000000"/>
          <w:sz w:val="18"/>
          <w:szCs w:val="18"/>
        </w:rPr>
        <w:t>1</w:t>
      </w:r>
      <w:r>
        <w:rPr>
          <w:rFonts w:ascii="Times New Roman" w:hAnsi="Times New Roman" w:hint="eastAsia"/>
          <w:color w:val="000000"/>
          <w:sz w:val="18"/>
          <w:szCs w:val="18"/>
        </w:rPr>
        <w:t>月</w:t>
      </w:r>
      <w:r>
        <w:rPr>
          <w:rFonts w:ascii="Times New Roman" w:hAnsi="Times New Roman"/>
          <w:color w:val="000000"/>
          <w:sz w:val="18"/>
          <w:szCs w:val="18"/>
        </w:rPr>
        <w:t>1</w:t>
      </w:r>
      <w:r>
        <w:rPr>
          <w:rFonts w:ascii="Times New Roman" w:hAnsi="Times New Roman" w:hint="eastAsia"/>
          <w:color w:val="000000"/>
          <w:sz w:val="18"/>
          <w:szCs w:val="18"/>
        </w:rPr>
        <w:t>日起施行</w:t>
      </w:r>
      <w:r>
        <w:rPr>
          <w:rFonts w:ascii="Times New Roman" w:hAnsi="Times New Roman" w:hint="eastAsia"/>
          <w:color w:val="000000"/>
          <w:sz w:val="24"/>
        </w:rPr>
        <w:t>）</w:t>
      </w:r>
    </w:p>
    <w:p w:rsidR="00473DDF" w:rsidRDefault="00473DDF" w:rsidP="00822204">
      <w:pPr>
        <w:pStyle w:val="PlainText"/>
        <w:spacing w:beforeLines="25" w:afterLines="25" w:line="360" w:lineRule="auto"/>
        <w:ind w:leftChars="214" w:left="689" w:hangingChars="100" w:hanging="240"/>
        <w:rPr>
          <w:rFonts w:ascii="Times New Roman" w:hAnsi="Times New Roman"/>
          <w:color w:val="000000"/>
          <w:sz w:val="24"/>
        </w:rPr>
      </w:pPr>
      <w:r>
        <w:rPr>
          <w:rFonts w:ascii="Times New Roman" w:hAnsi="Times New Roman"/>
          <w:color w:val="000000"/>
          <w:sz w:val="24"/>
        </w:rPr>
        <w:t>6</w:t>
      </w:r>
      <w:r>
        <w:rPr>
          <w:rFonts w:ascii="Times New Roman" w:hAnsi="Times New Roman" w:hint="eastAsia"/>
          <w:color w:val="000000"/>
          <w:sz w:val="24"/>
        </w:rPr>
        <w:t>、《最高人民法院关于人民法院民事执行中拍卖、变卖财产的规定》</w:t>
      </w:r>
      <w:r>
        <w:rPr>
          <w:rFonts w:ascii="Times New Roman" w:hAnsi="Times New Roman"/>
          <w:color w:val="000000"/>
          <w:sz w:val="24"/>
        </w:rPr>
        <w:t xml:space="preserve"> </w:t>
      </w:r>
      <w:r>
        <w:rPr>
          <w:rFonts w:ascii="Times New Roman" w:hAnsi="Times New Roman" w:hint="eastAsia"/>
          <w:color w:val="000000"/>
          <w:sz w:val="24"/>
        </w:rPr>
        <w:t>（</w:t>
      </w:r>
      <w:r>
        <w:rPr>
          <w:rFonts w:ascii="Times New Roman" w:hAnsi="Times New Roman" w:hint="eastAsia"/>
          <w:color w:val="000000"/>
          <w:sz w:val="18"/>
          <w:szCs w:val="18"/>
        </w:rPr>
        <w:t>法释〔</w:t>
      </w:r>
      <w:r>
        <w:rPr>
          <w:rFonts w:ascii="Times New Roman" w:hAnsi="Times New Roman"/>
          <w:color w:val="000000"/>
          <w:sz w:val="18"/>
          <w:szCs w:val="18"/>
        </w:rPr>
        <w:t>2004</w:t>
      </w:r>
      <w:r>
        <w:rPr>
          <w:rFonts w:ascii="Times New Roman" w:hAnsi="Times New Roman" w:hint="eastAsia"/>
          <w:color w:val="000000"/>
          <w:sz w:val="18"/>
          <w:szCs w:val="18"/>
        </w:rPr>
        <w:t>〕</w:t>
      </w:r>
      <w:r>
        <w:rPr>
          <w:rFonts w:ascii="Times New Roman" w:hAnsi="Times New Roman"/>
          <w:color w:val="000000"/>
          <w:sz w:val="18"/>
          <w:szCs w:val="18"/>
        </w:rPr>
        <w:t>16</w:t>
      </w:r>
      <w:r>
        <w:rPr>
          <w:rFonts w:ascii="Times New Roman" w:hAnsi="Times New Roman" w:hint="eastAsia"/>
          <w:color w:val="000000"/>
          <w:sz w:val="18"/>
          <w:szCs w:val="18"/>
        </w:rPr>
        <w:t>号，自</w:t>
      </w:r>
      <w:r>
        <w:rPr>
          <w:rFonts w:ascii="Times New Roman" w:hAnsi="Times New Roman"/>
          <w:color w:val="000000"/>
          <w:sz w:val="18"/>
          <w:szCs w:val="18"/>
        </w:rPr>
        <w:t>2005</w:t>
      </w:r>
      <w:r>
        <w:rPr>
          <w:rFonts w:ascii="Times New Roman" w:hAnsi="Times New Roman" w:hint="eastAsia"/>
          <w:color w:val="000000"/>
          <w:sz w:val="18"/>
          <w:szCs w:val="18"/>
        </w:rPr>
        <w:t>年</w:t>
      </w:r>
      <w:r>
        <w:rPr>
          <w:rFonts w:ascii="Times New Roman" w:hAnsi="Times New Roman"/>
          <w:color w:val="000000"/>
          <w:sz w:val="18"/>
          <w:szCs w:val="18"/>
        </w:rPr>
        <w:t>1</w:t>
      </w:r>
      <w:r>
        <w:rPr>
          <w:rFonts w:ascii="Times New Roman" w:hAnsi="Times New Roman" w:hint="eastAsia"/>
          <w:color w:val="000000"/>
          <w:sz w:val="18"/>
          <w:szCs w:val="18"/>
        </w:rPr>
        <w:t>月</w:t>
      </w:r>
      <w:r>
        <w:rPr>
          <w:rFonts w:ascii="Times New Roman" w:hAnsi="Times New Roman"/>
          <w:color w:val="000000"/>
          <w:sz w:val="18"/>
          <w:szCs w:val="18"/>
        </w:rPr>
        <w:t>1</w:t>
      </w:r>
      <w:r>
        <w:rPr>
          <w:rFonts w:ascii="Times New Roman" w:hAnsi="Times New Roman" w:hint="eastAsia"/>
          <w:color w:val="000000"/>
          <w:sz w:val="18"/>
          <w:szCs w:val="18"/>
        </w:rPr>
        <w:t>日起施行</w:t>
      </w:r>
      <w:r>
        <w:rPr>
          <w:rFonts w:ascii="Times New Roman" w:hAnsi="Times New Roman" w:hint="eastAsia"/>
          <w:color w:val="000000"/>
          <w:sz w:val="24"/>
        </w:rPr>
        <w:t>）</w:t>
      </w:r>
    </w:p>
    <w:p w:rsidR="00473DDF" w:rsidRDefault="00473DDF" w:rsidP="00822204">
      <w:pPr>
        <w:pStyle w:val="PlainText"/>
        <w:spacing w:beforeLines="25" w:afterLines="25" w:line="360" w:lineRule="auto"/>
        <w:ind w:leftChars="214" w:left="689" w:hangingChars="100" w:hanging="240"/>
        <w:rPr>
          <w:rFonts w:ascii="Times New Roman" w:hAnsi="Times New Roman"/>
          <w:color w:val="000000"/>
          <w:sz w:val="24"/>
        </w:rPr>
      </w:pPr>
      <w:r>
        <w:rPr>
          <w:rFonts w:ascii="Times New Roman" w:hAnsi="Times New Roman"/>
          <w:color w:val="000000"/>
          <w:sz w:val="24"/>
        </w:rPr>
        <w:t>7</w:t>
      </w:r>
      <w:r>
        <w:rPr>
          <w:rFonts w:ascii="Times New Roman" w:hAnsi="Times New Roman" w:hint="eastAsia"/>
          <w:color w:val="000000"/>
          <w:sz w:val="24"/>
        </w:rPr>
        <w:t>、《最高人民法院关于人民法院委托评估、拍卖和变卖工作的若干规定》</w:t>
      </w:r>
      <w:r>
        <w:rPr>
          <w:rFonts w:ascii="Times New Roman" w:hAnsi="Times New Roman"/>
          <w:color w:val="000000"/>
          <w:sz w:val="24"/>
        </w:rPr>
        <w:t xml:space="preserve">  </w:t>
      </w:r>
      <w:r>
        <w:rPr>
          <w:rFonts w:ascii="Times New Roman" w:hAnsi="Times New Roman" w:hint="eastAsia"/>
          <w:color w:val="000000"/>
          <w:sz w:val="24"/>
        </w:rPr>
        <w:t>（</w:t>
      </w:r>
      <w:r>
        <w:rPr>
          <w:rFonts w:ascii="Times New Roman" w:hAnsi="Times New Roman" w:hint="eastAsia"/>
          <w:color w:val="000000"/>
          <w:sz w:val="18"/>
          <w:szCs w:val="18"/>
        </w:rPr>
        <w:t>法释〔</w:t>
      </w:r>
      <w:r>
        <w:rPr>
          <w:rFonts w:ascii="Times New Roman" w:hAnsi="Times New Roman"/>
          <w:color w:val="000000"/>
          <w:sz w:val="18"/>
          <w:szCs w:val="18"/>
        </w:rPr>
        <w:t>2009</w:t>
      </w:r>
      <w:r>
        <w:rPr>
          <w:rFonts w:ascii="Times New Roman" w:hAnsi="Times New Roman" w:hint="eastAsia"/>
          <w:color w:val="000000"/>
          <w:sz w:val="18"/>
          <w:szCs w:val="18"/>
        </w:rPr>
        <w:t>〕</w:t>
      </w:r>
      <w:r>
        <w:rPr>
          <w:rFonts w:ascii="Times New Roman" w:hAnsi="Times New Roman"/>
          <w:color w:val="000000"/>
          <w:sz w:val="18"/>
          <w:szCs w:val="18"/>
        </w:rPr>
        <w:t>16</w:t>
      </w:r>
      <w:r>
        <w:rPr>
          <w:rFonts w:ascii="Times New Roman" w:hAnsi="Times New Roman" w:hint="eastAsia"/>
          <w:color w:val="000000"/>
          <w:sz w:val="18"/>
          <w:szCs w:val="18"/>
        </w:rPr>
        <w:t>号，</w:t>
      </w:r>
      <w:r>
        <w:rPr>
          <w:rFonts w:ascii="Times New Roman" w:hAnsi="Times New Roman"/>
          <w:color w:val="000000"/>
          <w:sz w:val="18"/>
          <w:szCs w:val="18"/>
        </w:rPr>
        <w:t>2009</w:t>
      </w:r>
      <w:r>
        <w:rPr>
          <w:rFonts w:ascii="Times New Roman" w:hAnsi="Times New Roman" w:hint="eastAsia"/>
          <w:color w:val="000000"/>
          <w:sz w:val="18"/>
          <w:szCs w:val="18"/>
        </w:rPr>
        <w:t>年</w:t>
      </w:r>
      <w:r>
        <w:rPr>
          <w:rFonts w:ascii="Times New Roman" w:hAnsi="Times New Roman"/>
          <w:color w:val="000000"/>
          <w:sz w:val="18"/>
          <w:szCs w:val="18"/>
        </w:rPr>
        <w:t>8</w:t>
      </w:r>
      <w:r>
        <w:rPr>
          <w:rFonts w:ascii="Times New Roman" w:hAnsi="Times New Roman" w:hint="eastAsia"/>
          <w:color w:val="000000"/>
          <w:sz w:val="18"/>
          <w:szCs w:val="18"/>
        </w:rPr>
        <w:t>月</w:t>
      </w:r>
      <w:r>
        <w:rPr>
          <w:rFonts w:ascii="Times New Roman" w:hAnsi="Times New Roman"/>
          <w:color w:val="000000"/>
          <w:sz w:val="18"/>
          <w:szCs w:val="18"/>
        </w:rPr>
        <w:t>24</w:t>
      </w:r>
      <w:r>
        <w:rPr>
          <w:rFonts w:ascii="Times New Roman" w:hAnsi="Times New Roman" w:hint="eastAsia"/>
          <w:color w:val="000000"/>
          <w:sz w:val="18"/>
          <w:szCs w:val="18"/>
        </w:rPr>
        <w:t>日通过</w:t>
      </w:r>
      <w:r>
        <w:rPr>
          <w:rFonts w:ascii="Times New Roman" w:hAnsi="Times New Roman"/>
          <w:color w:val="000000"/>
          <w:sz w:val="18"/>
          <w:szCs w:val="18"/>
        </w:rPr>
        <w:t> </w:t>
      </w:r>
      <w:r>
        <w:rPr>
          <w:rFonts w:ascii="Times New Roman" w:hAnsi="Times New Roman" w:hint="eastAsia"/>
          <w:color w:val="000000"/>
          <w:sz w:val="24"/>
        </w:rPr>
        <w:t>）</w:t>
      </w:r>
    </w:p>
    <w:p w:rsidR="00473DDF" w:rsidRDefault="00473DDF" w:rsidP="00822204">
      <w:pPr>
        <w:pStyle w:val="PlainText"/>
        <w:spacing w:beforeLines="25" w:afterLines="25" w:line="360" w:lineRule="auto"/>
        <w:ind w:leftChars="214" w:left="689" w:hangingChars="100" w:hanging="240"/>
        <w:rPr>
          <w:rFonts w:ascii="Times New Roman" w:hAnsi="Times New Roman"/>
          <w:color w:val="000000"/>
          <w:sz w:val="24"/>
        </w:rPr>
      </w:pPr>
      <w:r>
        <w:rPr>
          <w:rFonts w:ascii="Times New Roman" w:hAnsi="Times New Roman"/>
          <w:color w:val="000000"/>
          <w:sz w:val="24"/>
        </w:rPr>
        <w:t>8</w:t>
      </w:r>
      <w:r>
        <w:rPr>
          <w:rFonts w:ascii="Times New Roman" w:hAnsi="Times New Roman" w:hint="eastAsia"/>
          <w:color w:val="000000"/>
          <w:sz w:val="24"/>
        </w:rPr>
        <w:t>、《最高人民法院关于人民法院网络司法拍卖若干问题的规定》</w:t>
      </w:r>
      <w:r>
        <w:rPr>
          <w:rFonts w:ascii="Times New Roman" w:hAnsi="Times New Roman"/>
          <w:color w:val="000000"/>
          <w:sz w:val="24"/>
        </w:rPr>
        <w:t xml:space="preserve">  </w:t>
      </w:r>
      <w:r>
        <w:rPr>
          <w:rFonts w:ascii="Times New Roman" w:hAnsi="Times New Roman" w:hint="eastAsia"/>
          <w:color w:val="000000"/>
          <w:sz w:val="24"/>
        </w:rPr>
        <w:t>（</w:t>
      </w:r>
      <w:r>
        <w:rPr>
          <w:rFonts w:ascii="Times New Roman" w:hAnsi="Times New Roman" w:hint="eastAsia"/>
          <w:color w:val="000000"/>
          <w:sz w:val="18"/>
          <w:szCs w:val="18"/>
        </w:rPr>
        <w:t>法释〔</w:t>
      </w:r>
      <w:r>
        <w:rPr>
          <w:rFonts w:ascii="Times New Roman" w:hAnsi="Times New Roman"/>
          <w:color w:val="000000"/>
          <w:sz w:val="18"/>
          <w:szCs w:val="18"/>
        </w:rPr>
        <w:t>2016</w:t>
      </w:r>
      <w:r>
        <w:rPr>
          <w:rFonts w:ascii="Times New Roman" w:hAnsi="Times New Roman" w:hint="eastAsia"/>
          <w:color w:val="000000"/>
          <w:sz w:val="18"/>
          <w:szCs w:val="18"/>
        </w:rPr>
        <w:t>〕</w:t>
      </w:r>
      <w:r>
        <w:rPr>
          <w:rFonts w:ascii="Times New Roman" w:hAnsi="Times New Roman"/>
          <w:color w:val="000000"/>
          <w:sz w:val="18"/>
          <w:szCs w:val="18"/>
        </w:rPr>
        <w:t>18</w:t>
      </w:r>
      <w:r>
        <w:rPr>
          <w:rFonts w:ascii="Times New Roman" w:hAnsi="Times New Roman" w:hint="eastAsia"/>
          <w:color w:val="000000"/>
          <w:sz w:val="18"/>
          <w:szCs w:val="18"/>
        </w:rPr>
        <w:t>号，自</w:t>
      </w:r>
      <w:r>
        <w:rPr>
          <w:rFonts w:ascii="Times New Roman" w:hAnsi="Times New Roman"/>
          <w:color w:val="000000"/>
          <w:sz w:val="18"/>
          <w:szCs w:val="18"/>
        </w:rPr>
        <w:t>2017</w:t>
      </w:r>
      <w:r>
        <w:rPr>
          <w:rFonts w:ascii="Times New Roman" w:hAnsi="Times New Roman" w:hint="eastAsia"/>
          <w:color w:val="000000"/>
          <w:sz w:val="18"/>
          <w:szCs w:val="18"/>
        </w:rPr>
        <w:t>年</w:t>
      </w:r>
      <w:r>
        <w:rPr>
          <w:rFonts w:ascii="Times New Roman" w:hAnsi="Times New Roman"/>
          <w:color w:val="000000"/>
          <w:sz w:val="18"/>
          <w:szCs w:val="18"/>
        </w:rPr>
        <w:t>1</w:t>
      </w:r>
      <w:r>
        <w:rPr>
          <w:rFonts w:ascii="Times New Roman" w:hAnsi="Times New Roman" w:hint="eastAsia"/>
          <w:color w:val="000000"/>
          <w:sz w:val="18"/>
          <w:szCs w:val="18"/>
        </w:rPr>
        <w:t>月</w:t>
      </w:r>
      <w:r>
        <w:rPr>
          <w:rFonts w:ascii="Times New Roman" w:hAnsi="Times New Roman"/>
          <w:color w:val="000000"/>
          <w:sz w:val="18"/>
          <w:szCs w:val="18"/>
        </w:rPr>
        <w:t>1</w:t>
      </w:r>
      <w:r>
        <w:rPr>
          <w:rFonts w:ascii="Times New Roman" w:hAnsi="Times New Roman" w:hint="eastAsia"/>
          <w:color w:val="000000"/>
          <w:sz w:val="18"/>
          <w:szCs w:val="18"/>
        </w:rPr>
        <w:t>日起施行</w:t>
      </w:r>
      <w:r>
        <w:rPr>
          <w:rFonts w:ascii="Times New Roman" w:hAnsi="Times New Roman" w:hint="eastAsia"/>
          <w:color w:val="000000"/>
          <w:sz w:val="24"/>
        </w:rPr>
        <w:t>）</w:t>
      </w:r>
    </w:p>
    <w:p w:rsidR="00473DDF" w:rsidRDefault="00473DDF" w:rsidP="00822204">
      <w:pPr>
        <w:pStyle w:val="PlainText"/>
        <w:spacing w:beforeLines="25" w:afterLines="25" w:line="360" w:lineRule="auto"/>
        <w:ind w:leftChars="214" w:left="689" w:hangingChars="100" w:hanging="240"/>
        <w:rPr>
          <w:rFonts w:ascii="Times New Roman" w:hAnsi="Times New Roman"/>
          <w:color w:val="000000"/>
          <w:sz w:val="24"/>
        </w:rPr>
      </w:pPr>
      <w:r>
        <w:rPr>
          <w:rFonts w:ascii="Times New Roman" w:hAnsi="Times New Roman"/>
          <w:color w:val="000000"/>
          <w:sz w:val="24"/>
        </w:rPr>
        <w:t>9</w:t>
      </w:r>
      <w:r>
        <w:rPr>
          <w:rFonts w:ascii="Times New Roman" w:hAnsi="Times New Roman" w:hint="eastAsia"/>
          <w:color w:val="000000"/>
          <w:sz w:val="24"/>
        </w:rPr>
        <w:t>、《最高人民法院关于人民法院确定财产处置参考价若干问题的规定》</w:t>
      </w:r>
      <w:r>
        <w:rPr>
          <w:rFonts w:ascii="Times New Roman" w:hAnsi="Times New Roman"/>
          <w:color w:val="000000"/>
          <w:sz w:val="24"/>
        </w:rPr>
        <w:t xml:space="preserve">  </w:t>
      </w:r>
      <w:r>
        <w:rPr>
          <w:rFonts w:ascii="Times New Roman" w:hAnsi="Times New Roman" w:hint="eastAsia"/>
          <w:color w:val="000000"/>
          <w:sz w:val="24"/>
        </w:rPr>
        <w:t>（</w:t>
      </w:r>
      <w:r>
        <w:rPr>
          <w:rFonts w:ascii="Times New Roman" w:hAnsi="Times New Roman" w:hint="eastAsia"/>
          <w:color w:val="000000"/>
          <w:sz w:val="18"/>
          <w:szCs w:val="18"/>
        </w:rPr>
        <w:t>法释〔</w:t>
      </w:r>
      <w:r>
        <w:rPr>
          <w:rFonts w:ascii="Times New Roman" w:hAnsi="Times New Roman"/>
          <w:color w:val="000000"/>
          <w:sz w:val="18"/>
          <w:szCs w:val="18"/>
        </w:rPr>
        <w:t>2018</w:t>
      </w:r>
      <w:r>
        <w:rPr>
          <w:rFonts w:ascii="Times New Roman" w:hAnsi="Times New Roman" w:hint="eastAsia"/>
          <w:color w:val="000000"/>
          <w:sz w:val="18"/>
          <w:szCs w:val="18"/>
        </w:rPr>
        <w:t>〕</w:t>
      </w:r>
      <w:r>
        <w:rPr>
          <w:rFonts w:ascii="Times New Roman" w:hAnsi="Times New Roman"/>
          <w:color w:val="000000"/>
          <w:sz w:val="18"/>
          <w:szCs w:val="18"/>
        </w:rPr>
        <w:t>15</w:t>
      </w:r>
      <w:r>
        <w:rPr>
          <w:rFonts w:ascii="Times New Roman" w:hAnsi="Times New Roman" w:hint="eastAsia"/>
          <w:color w:val="000000"/>
          <w:sz w:val="18"/>
          <w:szCs w:val="18"/>
        </w:rPr>
        <w:t>号，自</w:t>
      </w:r>
      <w:r>
        <w:rPr>
          <w:rFonts w:ascii="Times New Roman" w:hAnsi="Times New Roman"/>
          <w:color w:val="000000"/>
          <w:sz w:val="18"/>
          <w:szCs w:val="18"/>
        </w:rPr>
        <w:t>2018</w:t>
      </w:r>
      <w:r>
        <w:rPr>
          <w:rFonts w:ascii="Times New Roman" w:hAnsi="Times New Roman" w:hint="eastAsia"/>
          <w:color w:val="000000"/>
          <w:sz w:val="18"/>
          <w:szCs w:val="18"/>
        </w:rPr>
        <w:t>年</w:t>
      </w:r>
      <w:r>
        <w:rPr>
          <w:rFonts w:ascii="Times New Roman" w:hAnsi="Times New Roman"/>
          <w:color w:val="000000"/>
          <w:sz w:val="18"/>
          <w:szCs w:val="18"/>
        </w:rPr>
        <w:t>9</w:t>
      </w:r>
      <w:r>
        <w:rPr>
          <w:rFonts w:ascii="Times New Roman" w:hAnsi="Times New Roman" w:hint="eastAsia"/>
          <w:color w:val="000000"/>
          <w:sz w:val="18"/>
          <w:szCs w:val="18"/>
        </w:rPr>
        <w:t>月</w:t>
      </w:r>
      <w:r>
        <w:rPr>
          <w:rFonts w:ascii="Times New Roman" w:hAnsi="Times New Roman"/>
          <w:color w:val="000000"/>
          <w:sz w:val="18"/>
          <w:szCs w:val="18"/>
        </w:rPr>
        <w:t>1</w:t>
      </w:r>
      <w:r>
        <w:rPr>
          <w:rFonts w:ascii="Times New Roman" w:hAnsi="Times New Roman" w:hint="eastAsia"/>
          <w:color w:val="000000"/>
          <w:sz w:val="18"/>
          <w:szCs w:val="18"/>
        </w:rPr>
        <w:t>日起施行</w:t>
      </w:r>
      <w:r>
        <w:rPr>
          <w:rFonts w:ascii="Times New Roman" w:hAnsi="Times New Roman" w:hint="eastAsia"/>
          <w:color w:val="000000"/>
          <w:sz w:val="24"/>
        </w:rPr>
        <w:t>）</w:t>
      </w:r>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hint="eastAsia"/>
          <w:color w:val="000000"/>
          <w:sz w:val="24"/>
        </w:rPr>
        <w:t>（二）估价标准、规范</w:t>
      </w:r>
    </w:p>
    <w:p w:rsidR="00473DDF" w:rsidRDefault="00473DDF" w:rsidP="00822204">
      <w:pPr>
        <w:pStyle w:val="PlainText"/>
        <w:spacing w:beforeLines="25" w:afterLines="25" w:line="360" w:lineRule="auto"/>
        <w:ind w:firstLineChars="200" w:firstLine="480"/>
        <w:rPr>
          <w:rStyle w:val="normal0"/>
          <w:rFonts w:ascii="Times New Roman" w:hAnsi="Times New Roman"/>
          <w:color w:val="000000"/>
          <w:sz w:val="18"/>
          <w:szCs w:val="18"/>
        </w:rPr>
      </w:pPr>
      <w:r>
        <w:rPr>
          <w:rFonts w:ascii="Times New Roman" w:hAnsi="Times New Roman"/>
          <w:color w:val="000000"/>
          <w:sz w:val="24"/>
        </w:rPr>
        <w:t>1</w:t>
      </w:r>
      <w:r>
        <w:rPr>
          <w:rFonts w:ascii="Times New Roman" w:hAnsi="Times New Roman" w:hint="eastAsia"/>
          <w:color w:val="000000"/>
          <w:sz w:val="24"/>
        </w:rPr>
        <w:t>、《人民法院委托评估工作规范》（</w:t>
      </w:r>
      <w:r>
        <w:rPr>
          <w:rFonts w:ascii="Times New Roman" w:hAnsi="Times New Roman" w:hint="eastAsia"/>
          <w:color w:val="000000"/>
          <w:sz w:val="18"/>
          <w:szCs w:val="18"/>
        </w:rPr>
        <w:t>法办〔</w:t>
      </w:r>
      <w:r>
        <w:rPr>
          <w:rFonts w:ascii="Times New Roman" w:hAnsi="Times New Roman"/>
          <w:color w:val="000000"/>
          <w:sz w:val="18"/>
          <w:szCs w:val="18"/>
        </w:rPr>
        <w:t>2018</w:t>
      </w:r>
      <w:r>
        <w:rPr>
          <w:rFonts w:ascii="Times New Roman" w:hAnsi="Times New Roman" w:hint="eastAsia"/>
          <w:color w:val="000000"/>
          <w:sz w:val="18"/>
          <w:szCs w:val="18"/>
        </w:rPr>
        <w:t>〕</w:t>
      </w:r>
      <w:r>
        <w:rPr>
          <w:rFonts w:ascii="Times New Roman" w:hAnsi="Times New Roman"/>
          <w:color w:val="000000"/>
          <w:sz w:val="18"/>
          <w:szCs w:val="18"/>
        </w:rPr>
        <w:t>273</w:t>
      </w:r>
      <w:r>
        <w:rPr>
          <w:rFonts w:ascii="Times New Roman" w:hAnsi="Times New Roman" w:hint="eastAsia"/>
          <w:color w:val="000000"/>
          <w:sz w:val="18"/>
          <w:szCs w:val="18"/>
        </w:rPr>
        <w:t>号，</w:t>
      </w:r>
      <w:r>
        <w:rPr>
          <w:rFonts w:ascii="Times New Roman" w:hAnsi="Times New Roman"/>
          <w:color w:val="000000"/>
          <w:sz w:val="18"/>
          <w:szCs w:val="18"/>
        </w:rPr>
        <w:t>2018</w:t>
      </w:r>
      <w:r>
        <w:rPr>
          <w:rFonts w:ascii="Times New Roman" w:hAnsi="Times New Roman" w:hint="eastAsia"/>
          <w:color w:val="000000"/>
          <w:sz w:val="18"/>
          <w:szCs w:val="18"/>
        </w:rPr>
        <w:t>年</w:t>
      </w:r>
      <w:r>
        <w:rPr>
          <w:rFonts w:ascii="Times New Roman" w:hAnsi="Times New Roman"/>
          <w:color w:val="000000"/>
          <w:sz w:val="18"/>
          <w:szCs w:val="18"/>
        </w:rPr>
        <w:t>12</w:t>
      </w:r>
      <w:r>
        <w:rPr>
          <w:rFonts w:ascii="Times New Roman" w:hAnsi="Times New Roman" w:hint="eastAsia"/>
          <w:color w:val="000000"/>
          <w:sz w:val="18"/>
          <w:szCs w:val="18"/>
        </w:rPr>
        <w:t>月</w:t>
      </w:r>
      <w:r>
        <w:rPr>
          <w:rFonts w:ascii="Times New Roman" w:hAnsi="Times New Roman"/>
          <w:color w:val="000000"/>
          <w:sz w:val="18"/>
          <w:szCs w:val="18"/>
        </w:rPr>
        <w:t>10</w:t>
      </w:r>
      <w:r>
        <w:rPr>
          <w:rFonts w:ascii="Times New Roman" w:hAnsi="Times New Roman" w:hint="eastAsia"/>
          <w:color w:val="000000"/>
          <w:sz w:val="18"/>
          <w:szCs w:val="18"/>
        </w:rPr>
        <w:t>日发布</w:t>
      </w:r>
      <w:r>
        <w:rPr>
          <w:rFonts w:ascii="Arial" w:hAnsi="Arial" w:cs="Arial" w:hint="eastAsia"/>
          <w:color w:val="333333"/>
          <w:szCs w:val="21"/>
        </w:rPr>
        <w:t>）</w:t>
      </w:r>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color w:val="000000"/>
          <w:sz w:val="24"/>
        </w:rPr>
        <w:t>2</w:t>
      </w:r>
      <w:r>
        <w:rPr>
          <w:rFonts w:ascii="Times New Roman" w:hAnsi="Times New Roman" w:hint="eastAsia"/>
          <w:color w:val="000000"/>
          <w:sz w:val="24"/>
        </w:rPr>
        <w:t>、《房地产估价规范》</w:t>
      </w:r>
      <w:r>
        <w:rPr>
          <w:rFonts w:ascii="Times New Roman" w:hAnsi="Times New Roman" w:hint="eastAsia"/>
          <w:color w:val="000000"/>
          <w:sz w:val="18"/>
          <w:szCs w:val="18"/>
        </w:rPr>
        <w:t>（</w:t>
      </w:r>
      <w:r>
        <w:rPr>
          <w:rFonts w:ascii="Times New Roman" w:hAnsi="Times New Roman"/>
          <w:color w:val="000000"/>
          <w:sz w:val="18"/>
          <w:szCs w:val="18"/>
        </w:rPr>
        <w:t>GB/T 50291-2015</w:t>
      </w:r>
      <w:r>
        <w:rPr>
          <w:rFonts w:ascii="Times New Roman" w:hAnsi="Times New Roman" w:hint="eastAsia"/>
          <w:color w:val="000000"/>
          <w:sz w:val="18"/>
          <w:szCs w:val="18"/>
        </w:rPr>
        <w:t>，</w:t>
      </w:r>
      <w:r>
        <w:rPr>
          <w:rFonts w:ascii="Times New Roman" w:hAnsi="Times New Roman"/>
          <w:color w:val="000000"/>
          <w:sz w:val="18"/>
          <w:szCs w:val="18"/>
        </w:rPr>
        <w:t>2015</w:t>
      </w:r>
      <w:r>
        <w:rPr>
          <w:rFonts w:ascii="Times New Roman" w:hAnsi="Times New Roman" w:hint="eastAsia"/>
          <w:color w:val="000000"/>
          <w:sz w:val="18"/>
          <w:szCs w:val="18"/>
        </w:rPr>
        <w:t>年</w:t>
      </w:r>
      <w:r>
        <w:rPr>
          <w:rFonts w:ascii="Times New Roman" w:hAnsi="Times New Roman"/>
          <w:color w:val="000000"/>
          <w:sz w:val="18"/>
          <w:szCs w:val="18"/>
        </w:rPr>
        <w:t>12</w:t>
      </w:r>
      <w:r>
        <w:rPr>
          <w:rFonts w:ascii="Times New Roman" w:hAnsi="Times New Roman" w:hint="eastAsia"/>
          <w:color w:val="000000"/>
          <w:sz w:val="18"/>
          <w:szCs w:val="18"/>
        </w:rPr>
        <w:t>月</w:t>
      </w:r>
      <w:r>
        <w:rPr>
          <w:rFonts w:ascii="Times New Roman" w:hAnsi="Times New Roman"/>
          <w:color w:val="000000"/>
          <w:sz w:val="18"/>
          <w:szCs w:val="18"/>
        </w:rPr>
        <w:t>1</w:t>
      </w:r>
      <w:r>
        <w:rPr>
          <w:rFonts w:ascii="Times New Roman" w:hAnsi="Times New Roman" w:hint="eastAsia"/>
          <w:color w:val="000000"/>
          <w:sz w:val="18"/>
          <w:szCs w:val="18"/>
        </w:rPr>
        <w:t>日起实施）</w:t>
      </w:r>
    </w:p>
    <w:p w:rsidR="00473DDF" w:rsidRDefault="00473DDF" w:rsidP="00822204">
      <w:pPr>
        <w:pStyle w:val="PlainText"/>
        <w:spacing w:beforeLines="25" w:afterLines="25" w:line="360" w:lineRule="auto"/>
        <w:ind w:firstLineChars="200" w:firstLine="480"/>
        <w:rPr>
          <w:rStyle w:val="normal0"/>
          <w:rFonts w:ascii="Times New Roman" w:hAnsi="Times New Roman"/>
          <w:color w:val="000000"/>
          <w:sz w:val="18"/>
          <w:szCs w:val="18"/>
        </w:rPr>
      </w:pPr>
      <w:r>
        <w:rPr>
          <w:rFonts w:ascii="Times New Roman" w:hAnsi="Times New Roman"/>
          <w:color w:val="000000"/>
          <w:sz w:val="24"/>
        </w:rPr>
        <w:t>3</w:t>
      </w:r>
      <w:r>
        <w:rPr>
          <w:rFonts w:ascii="Times New Roman" w:hAnsi="Times New Roman" w:hint="eastAsia"/>
          <w:color w:val="000000"/>
          <w:sz w:val="24"/>
        </w:rPr>
        <w:t>、《房地产估价基本术语标准》</w:t>
      </w:r>
      <w:r>
        <w:rPr>
          <w:rFonts w:ascii="Times New Roman" w:hAnsi="Times New Roman" w:hint="eastAsia"/>
          <w:color w:val="000000"/>
          <w:sz w:val="18"/>
          <w:szCs w:val="18"/>
        </w:rPr>
        <w:t>（</w:t>
      </w:r>
      <w:r>
        <w:rPr>
          <w:rFonts w:ascii="Times New Roman" w:hAnsi="Times New Roman"/>
          <w:color w:val="000000"/>
          <w:sz w:val="18"/>
          <w:szCs w:val="18"/>
        </w:rPr>
        <w:t>GB/T 50899-2013</w:t>
      </w:r>
      <w:r>
        <w:rPr>
          <w:rFonts w:ascii="Times New Roman" w:hAnsi="Times New Roman" w:hint="eastAsia"/>
          <w:color w:val="000000"/>
          <w:sz w:val="18"/>
          <w:szCs w:val="18"/>
        </w:rPr>
        <w:t>，</w:t>
      </w:r>
      <w:r>
        <w:rPr>
          <w:rStyle w:val="normal0"/>
          <w:rFonts w:ascii="Times New Roman" w:hAnsi="Times New Roman"/>
          <w:color w:val="000000"/>
          <w:sz w:val="18"/>
          <w:szCs w:val="18"/>
        </w:rPr>
        <w:t>2014</w:t>
      </w:r>
      <w:r>
        <w:rPr>
          <w:rStyle w:val="normal0"/>
          <w:rFonts w:ascii="Times New Roman" w:hAnsi="Times New Roman" w:hint="eastAsia"/>
          <w:color w:val="000000"/>
          <w:sz w:val="18"/>
          <w:szCs w:val="18"/>
        </w:rPr>
        <w:t>年</w:t>
      </w:r>
      <w:r>
        <w:rPr>
          <w:rStyle w:val="normal0"/>
          <w:rFonts w:ascii="Times New Roman" w:hAnsi="Times New Roman"/>
          <w:color w:val="000000"/>
          <w:sz w:val="18"/>
          <w:szCs w:val="18"/>
        </w:rPr>
        <w:t>2</w:t>
      </w:r>
      <w:r>
        <w:rPr>
          <w:rStyle w:val="normal0"/>
          <w:rFonts w:ascii="Times New Roman" w:hAnsi="Times New Roman" w:hint="eastAsia"/>
          <w:color w:val="000000"/>
          <w:sz w:val="18"/>
          <w:szCs w:val="18"/>
        </w:rPr>
        <w:t>月</w:t>
      </w:r>
      <w:r>
        <w:rPr>
          <w:rStyle w:val="normal0"/>
          <w:rFonts w:ascii="Times New Roman" w:hAnsi="Times New Roman"/>
          <w:color w:val="000000"/>
          <w:sz w:val="18"/>
          <w:szCs w:val="18"/>
        </w:rPr>
        <w:t>1</w:t>
      </w:r>
      <w:r>
        <w:rPr>
          <w:rStyle w:val="normal0"/>
          <w:rFonts w:ascii="Times New Roman" w:hAnsi="Times New Roman" w:hint="eastAsia"/>
          <w:color w:val="000000"/>
          <w:sz w:val="18"/>
          <w:szCs w:val="18"/>
        </w:rPr>
        <w:t>日</w:t>
      </w:r>
      <w:r>
        <w:rPr>
          <w:rFonts w:ascii="Times New Roman" w:hAnsi="Times New Roman" w:hint="eastAsia"/>
          <w:color w:val="000000"/>
          <w:sz w:val="18"/>
          <w:szCs w:val="18"/>
        </w:rPr>
        <w:t>起实施</w:t>
      </w:r>
      <w:r>
        <w:rPr>
          <w:rStyle w:val="normal0"/>
          <w:rFonts w:ascii="Times New Roman" w:hAnsi="Times New Roman" w:hint="eastAsia"/>
          <w:color w:val="000000"/>
          <w:sz w:val="18"/>
          <w:szCs w:val="18"/>
        </w:rPr>
        <w:t>）</w:t>
      </w:r>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hint="eastAsia"/>
          <w:color w:val="000000"/>
          <w:sz w:val="24"/>
        </w:rPr>
        <w:t>（三）《辽宁省丹东市中级人民法院委托书》</w:t>
      </w:r>
    </w:p>
    <w:p w:rsidR="00473DDF" w:rsidRDefault="00473DDF" w:rsidP="00822204">
      <w:pPr>
        <w:pStyle w:val="PlainText"/>
        <w:spacing w:beforeLines="25" w:afterLines="25" w:line="360" w:lineRule="auto"/>
        <w:ind w:firstLineChars="200" w:firstLine="480"/>
        <w:rPr>
          <w:rFonts w:ascii="Times New Roman" w:hAnsi="Times New Roman"/>
          <w:color w:val="000000"/>
          <w:sz w:val="24"/>
        </w:rPr>
      </w:pPr>
      <w:r>
        <w:rPr>
          <w:rFonts w:ascii="Times New Roman" w:hAnsi="Times New Roman" w:hint="eastAsia"/>
          <w:color w:val="000000"/>
          <w:sz w:val="24"/>
        </w:rPr>
        <w:t>（四）《房屋所有权证》复印件</w:t>
      </w:r>
    </w:p>
    <w:p w:rsidR="00473DDF" w:rsidRPr="00214E73" w:rsidRDefault="00473DDF" w:rsidP="00822204">
      <w:pPr>
        <w:pStyle w:val="PlainText"/>
        <w:spacing w:beforeLines="25" w:afterLines="25" w:line="360" w:lineRule="auto"/>
        <w:ind w:firstLineChars="200" w:firstLine="480"/>
        <w:rPr>
          <w:rFonts w:ascii="Times New Roman" w:hAnsi="Times New Roman"/>
          <w:color w:val="000000"/>
          <w:sz w:val="24"/>
        </w:rPr>
      </w:pPr>
      <w:r w:rsidRPr="00214E73">
        <w:rPr>
          <w:rFonts w:ascii="Times New Roman" w:hAnsi="Times New Roman" w:hint="eastAsia"/>
          <w:color w:val="000000"/>
          <w:sz w:val="24"/>
        </w:rPr>
        <w:t>（五）《他项权利证》复印件</w:t>
      </w:r>
    </w:p>
    <w:p w:rsidR="00473DDF" w:rsidRPr="00214E73" w:rsidRDefault="00473DDF" w:rsidP="00822204">
      <w:pPr>
        <w:pStyle w:val="PlainText"/>
        <w:spacing w:beforeLines="25" w:afterLines="25" w:line="360" w:lineRule="auto"/>
        <w:ind w:firstLineChars="200" w:firstLine="480"/>
        <w:rPr>
          <w:rFonts w:ascii="Times New Roman" w:hAnsi="Times New Roman"/>
          <w:color w:val="000000"/>
          <w:sz w:val="24"/>
        </w:rPr>
      </w:pPr>
      <w:r w:rsidRPr="00214E73">
        <w:rPr>
          <w:rFonts w:ascii="Times New Roman" w:hAnsi="Times New Roman" w:hint="eastAsia"/>
          <w:color w:val="000000"/>
          <w:sz w:val="24"/>
        </w:rPr>
        <w:t>（六）房地产估价机构、注册房地产估价师掌握和搜集的估价所需资料</w:t>
      </w:r>
    </w:p>
    <w:p w:rsidR="00473DDF" w:rsidRDefault="00473DDF" w:rsidP="00822204">
      <w:pPr>
        <w:pStyle w:val="Heading2"/>
        <w:spacing w:beforeLines="50" w:afterLines="50" w:line="360" w:lineRule="auto"/>
        <w:ind w:firstLineChars="200" w:firstLine="480"/>
        <w:rPr>
          <w:rFonts w:ascii="Times New Roman" w:hAnsi="Times New Roman"/>
          <w:b w:val="0"/>
          <w:color w:val="000000"/>
          <w:sz w:val="24"/>
          <w:szCs w:val="24"/>
        </w:rPr>
      </w:pPr>
      <w:bookmarkStart w:id="11" w:name="_Toc32499189"/>
      <w:r>
        <w:rPr>
          <w:rFonts w:ascii="Times New Roman" w:hAnsi="Times New Roman" w:hint="eastAsia"/>
          <w:b w:val="0"/>
          <w:color w:val="000000"/>
          <w:sz w:val="24"/>
          <w:szCs w:val="24"/>
        </w:rPr>
        <w:t>九、估价方法</w:t>
      </w:r>
      <w:bookmarkEnd w:id="11"/>
    </w:p>
    <w:p w:rsidR="00473DDF" w:rsidRDefault="00473DDF">
      <w:pPr>
        <w:pStyle w:val="PlainText"/>
        <w:spacing w:line="360" w:lineRule="auto"/>
        <w:ind w:firstLineChars="200" w:firstLine="480"/>
        <w:rPr>
          <w:rFonts w:hAnsi="宋体"/>
          <w:sz w:val="24"/>
        </w:rPr>
      </w:pPr>
      <w:r>
        <w:rPr>
          <w:rFonts w:hAnsi="宋体" w:hint="eastAsia"/>
          <w:sz w:val="24"/>
        </w:rPr>
        <w:t>（一）估价方法选用理由</w:t>
      </w:r>
    </w:p>
    <w:p w:rsidR="00473DDF" w:rsidRDefault="00473DDF">
      <w:pPr>
        <w:pStyle w:val="PlainText"/>
        <w:spacing w:line="360" w:lineRule="auto"/>
        <w:ind w:firstLineChars="200" w:firstLine="480"/>
        <w:rPr>
          <w:rFonts w:hAnsi="宋体"/>
          <w:sz w:val="24"/>
        </w:rPr>
      </w:pPr>
      <w:r>
        <w:rPr>
          <w:rFonts w:hAnsi="宋体" w:hint="eastAsia"/>
          <w:sz w:val="24"/>
        </w:rPr>
        <w:t>估价对象为建成物业，无单独的《国有土地使用证》，无法测算其占用的土地使用权</w:t>
      </w:r>
      <w:r>
        <w:rPr>
          <w:rFonts w:hAnsi="宋体" w:hint="eastAsia"/>
          <w:color w:val="000000"/>
          <w:sz w:val="24"/>
        </w:rPr>
        <w:t>成本，不适宜采用成本法估价</w:t>
      </w:r>
      <w:r>
        <w:rPr>
          <w:rFonts w:hAnsi="宋体" w:hint="eastAsia"/>
          <w:sz w:val="24"/>
        </w:rPr>
        <w:t>；估价对象暂时无新的规划变动，不具备再开发潜力，不适宜采用假设开发法估价。</w:t>
      </w:r>
    </w:p>
    <w:p w:rsidR="00473DDF" w:rsidRDefault="00473DDF" w:rsidP="00822204">
      <w:pPr>
        <w:spacing w:beforeLines="25" w:afterLines="25" w:line="360" w:lineRule="auto"/>
        <w:ind w:firstLineChars="187" w:firstLine="449"/>
        <w:textAlignment w:val="center"/>
        <w:rPr>
          <w:rFonts w:hAnsi="宋体"/>
          <w:sz w:val="24"/>
        </w:rPr>
      </w:pPr>
      <w:r>
        <w:rPr>
          <w:rFonts w:hAnsi="宋体" w:hint="eastAsia"/>
          <w:sz w:val="24"/>
        </w:rPr>
        <w:t>在价值时点，与估价对象类似房地产的可比交易实例较多，适宜采用比较法进行估价；估价对象现状用途为住宅，可以对外出租获得</w:t>
      </w:r>
      <w:r>
        <w:rPr>
          <w:rFonts w:hint="eastAsia"/>
          <w:sz w:val="24"/>
        </w:rPr>
        <w:t>房屋租金收入，通过确定</w:t>
      </w:r>
      <w:r>
        <w:rPr>
          <w:rFonts w:hAnsi="宋体" w:hint="eastAsia"/>
          <w:sz w:val="24"/>
        </w:rPr>
        <w:t>估价对象</w:t>
      </w:r>
      <w:r>
        <w:rPr>
          <w:rFonts w:hint="eastAsia"/>
          <w:sz w:val="24"/>
        </w:rPr>
        <w:t>净收益、报酬率及持有期等，以求取估价对象收益价值，</w:t>
      </w:r>
      <w:r>
        <w:rPr>
          <w:rFonts w:hAnsi="宋体" w:hint="eastAsia"/>
          <w:sz w:val="24"/>
        </w:rPr>
        <w:t>适宜选用收益法估价。</w:t>
      </w:r>
    </w:p>
    <w:p w:rsidR="00473DDF" w:rsidRDefault="00473DDF" w:rsidP="00810AB3">
      <w:pPr>
        <w:pStyle w:val="BodyTextIndent2"/>
        <w:spacing w:line="360" w:lineRule="auto"/>
        <w:ind w:firstLineChars="187" w:firstLine="449"/>
        <w:rPr>
          <w:rFonts w:ascii="Times New Roman" w:eastAsia="宋体"/>
          <w:color w:val="000000"/>
          <w:sz w:val="24"/>
          <w:szCs w:val="24"/>
        </w:rPr>
      </w:pPr>
      <w:r>
        <w:rPr>
          <w:rFonts w:ascii="Times New Roman" w:eastAsia="宋体" w:hint="eastAsia"/>
          <w:color w:val="000000"/>
          <w:sz w:val="24"/>
          <w:szCs w:val="24"/>
        </w:rPr>
        <w:t>（二）已选估价方法的名称和定义</w:t>
      </w:r>
    </w:p>
    <w:p w:rsidR="00473DDF" w:rsidRDefault="00473DDF" w:rsidP="00822204">
      <w:pPr>
        <w:spacing w:beforeLines="25" w:afterLines="25" w:line="360" w:lineRule="auto"/>
        <w:ind w:firstLineChars="187" w:firstLine="449"/>
        <w:textAlignment w:val="center"/>
        <w:rPr>
          <w:color w:val="000000"/>
          <w:sz w:val="24"/>
        </w:rPr>
      </w:pPr>
      <w:r>
        <w:rPr>
          <w:color w:val="000000"/>
          <w:sz w:val="24"/>
        </w:rPr>
        <w:t>1</w:t>
      </w:r>
      <w:r>
        <w:rPr>
          <w:rFonts w:hint="eastAsia"/>
          <w:color w:val="000000"/>
          <w:sz w:val="24"/>
        </w:rPr>
        <w:t>、比较法</w:t>
      </w:r>
    </w:p>
    <w:p w:rsidR="00473DDF" w:rsidRDefault="00473DDF" w:rsidP="00822204">
      <w:pPr>
        <w:spacing w:beforeLines="25" w:afterLines="25" w:line="360" w:lineRule="auto"/>
        <w:ind w:firstLineChars="187" w:firstLine="449"/>
        <w:textAlignment w:val="center"/>
        <w:rPr>
          <w:color w:val="000000"/>
          <w:sz w:val="24"/>
        </w:rPr>
      </w:pPr>
      <w:r>
        <w:rPr>
          <w:rFonts w:hint="eastAsia"/>
          <w:color w:val="000000"/>
          <w:sz w:val="24"/>
        </w:rPr>
        <w:t>比较法是指选取一定数量的可比实例，将它们与估价对象进行比较，根据其间的差异对可比实例成交价格进行处理后得到估价对象价值或价格的方法。</w:t>
      </w:r>
    </w:p>
    <w:p w:rsidR="00473DDF" w:rsidRDefault="00473DDF" w:rsidP="00822204">
      <w:pPr>
        <w:numPr>
          <w:ilvl w:val="0"/>
          <w:numId w:val="4"/>
        </w:numPr>
        <w:spacing w:beforeLines="25" w:afterLines="25" w:line="360" w:lineRule="auto"/>
        <w:ind w:firstLineChars="187" w:firstLine="449"/>
        <w:textAlignment w:val="center"/>
        <w:rPr>
          <w:color w:val="000000"/>
          <w:sz w:val="24"/>
        </w:rPr>
      </w:pPr>
      <w:r>
        <w:rPr>
          <w:rFonts w:hint="eastAsia"/>
          <w:color w:val="000000"/>
          <w:sz w:val="24"/>
        </w:rPr>
        <w:t>收益法</w:t>
      </w:r>
    </w:p>
    <w:p w:rsidR="00473DDF" w:rsidRDefault="00473DDF" w:rsidP="00822204">
      <w:pPr>
        <w:spacing w:beforeLines="25" w:afterLines="25" w:line="360" w:lineRule="auto"/>
        <w:textAlignment w:val="center"/>
        <w:rPr>
          <w:color w:val="000000"/>
          <w:sz w:val="24"/>
        </w:rPr>
      </w:pPr>
      <w:r>
        <w:rPr>
          <w:color w:val="000000"/>
          <w:sz w:val="24"/>
        </w:rPr>
        <w:t xml:space="preserve">    </w:t>
      </w:r>
      <w:r>
        <w:rPr>
          <w:rFonts w:hint="eastAsia"/>
          <w:color w:val="000000"/>
          <w:sz w:val="24"/>
        </w:rPr>
        <w:t>预测估价对象的未来收益，利用报酬率或资本化率、收益乘数将未来收益转换为价值得到估价对象价值或价格的方法。</w:t>
      </w:r>
    </w:p>
    <w:p w:rsidR="00473DDF" w:rsidRDefault="00473DDF" w:rsidP="00822204">
      <w:pPr>
        <w:spacing w:beforeLines="25" w:afterLines="25" w:line="360" w:lineRule="auto"/>
        <w:ind w:firstLineChars="200" w:firstLine="480"/>
        <w:textAlignment w:val="center"/>
        <w:rPr>
          <w:rFonts w:hAnsi="宋体"/>
          <w:sz w:val="24"/>
        </w:rPr>
      </w:pPr>
      <w:r>
        <w:rPr>
          <w:rFonts w:hAnsi="宋体" w:hint="eastAsia"/>
          <w:sz w:val="24"/>
        </w:rPr>
        <w:t>（三）估价测算简要内容</w:t>
      </w:r>
    </w:p>
    <w:p w:rsidR="00473DDF" w:rsidRDefault="00473DDF" w:rsidP="00822204">
      <w:pPr>
        <w:spacing w:beforeLines="25" w:afterLines="25" w:line="360" w:lineRule="auto"/>
        <w:ind w:firstLineChars="187" w:firstLine="449"/>
        <w:textAlignment w:val="center"/>
        <w:rPr>
          <w:rFonts w:ascii="宋体"/>
          <w:sz w:val="24"/>
        </w:rPr>
      </w:pPr>
      <w:r>
        <w:rPr>
          <w:rFonts w:ascii="宋体" w:hAnsi="宋体" w:hint="eastAsia"/>
          <w:sz w:val="24"/>
        </w:rPr>
        <w:t>本次估价为住宅房地产，包括估价对象建筑物及土地的市场价值。</w:t>
      </w:r>
    </w:p>
    <w:p w:rsidR="00473DDF" w:rsidRDefault="00473DDF" w:rsidP="00822204">
      <w:pPr>
        <w:spacing w:beforeLines="25" w:afterLines="25" w:line="360" w:lineRule="auto"/>
        <w:ind w:firstLineChars="200" w:firstLine="480"/>
        <w:textAlignment w:val="center"/>
        <w:rPr>
          <w:rFonts w:ascii="宋体"/>
          <w:sz w:val="24"/>
        </w:rPr>
      </w:pPr>
      <w:r>
        <w:rPr>
          <w:rFonts w:hint="eastAsia"/>
          <w:sz w:val="24"/>
        </w:rPr>
        <w:t>本次估价依据《房地产估价规范》（</w:t>
      </w:r>
      <w:r>
        <w:rPr>
          <w:sz w:val="24"/>
        </w:rPr>
        <w:t>GB/T 50291-2015</w:t>
      </w:r>
      <w:r>
        <w:rPr>
          <w:rFonts w:hint="eastAsia"/>
          <w:sz w:val="24"/>
        </w:rPr>
        <w:t>），采用“比较法”及“</w:t>
      </w:r>
      <w:r>
        <w:rPr>
          <w:rFonts w:hint="eastAsia"/>
          <w:color w:val="000000"/>
          <w:sz w:val="24"/>
        </w:rPr>
        <w:t>收益法</w:t>
      </w:r>
      <w:r>
        <w:rPr>
          <w:rFonts w:hint="eastAsia"/>
          <w:sz w:val="24"/>
        </w:rPr>
        <w:t>”进行估价。</w:t>
      </w:r>
      <w:r>
        <w:rPr>
          <w:rFonts w:ascii="宋体" w:hAnsi="宋体" w:hint="eastAsia"/>
          <w:sz w:val="24"/>
        </w:rPr>
        <w:t>在运用“比较法”时，本次估价通过收集选取与估价对象类似房地产出售的可比交易实例，根据估价对象的交易情况、市场状况及房地产市场状况，通过对可比实例进行修正和调整，以求取估价对象的比较价值，进而求取</w:t>
      </w:r>
      <w:r>
        <w:rPr>
          <w:rFonts w:hint="eastAsia"/>
          <w:sz w:val="24"/>
        </w:rPr>
        <w:t>估价对象的房地产市场价值</w:t>
      </w:r>
      <w:r>
        <w:rPr>
          <w:rFonts w:ascii="宋体" w:hAnsi="宋体" w:hint="eastAsia"/>
          <w:sz w:val="24"/>
        </w:rPr>
        <w:t>。在运用“收益法”时，本次估价采用报酬资本化法，选用持有加转售模式进行估价，通过</w:t>
      </w:r>
      <w:r>
        <w:rPr>
          <w:rFonts w:hint="eastAsia"/>
          <w:color w:val="000000"/>
          <w:sz w:val="24"/>
        </w:rPr>
        <w:t>预测估价对象的未来</w:t>
      </w:r>
      <w:r>
        <w:rPr>
          <w:rFonts w:hint="eastAsia"/>
          <w:sz w:val="24"/>
        </w:rPr>
        <w:t>房屋租金有效毛收入</w:t>
      </w:r>
      <w:r>
        <w:rPr>
          <w:rFonts w:hint="eastAsia"/>
          <w:color w:val="000000"/>
          <w:sz w:val="24"/>
        </w:rPr>
        <w:t>、经营费用，求取期间收益，通过预测期末转售收益、报酬率、持有期，求取</w:t>
      </w:r>
      <w:r>
        <w:rPr>
          <w:rFonts w:hint="eastAsia"/>
          <w:sz w:val="24"/>
        </w:rPr>
        <w:t>估价对象收益价值，</w:t>
      </w:r>
      <w:r>
        <w:rPr>
          <w:rFonts w:ascii="宋体" w:hAnsi="宋体" w:hint="eastAsia"/>
          <w:sz w:val="24"/>
        </w:rPr>
        <w:t>进而求取</w:t>
      </w:r>
      <w:r>
        <w:rPr>
          <w:rFonts w:hint="eastAsia"/>
          <w:sz w:val="24"/>
        </w:rPr>
        <w:t>估价对象的房地产市场价值。考虑估价目的及估价对象的特点，对两种估价方法评估结果进行分析，确定合理的评估权重，以确定最终的评估结果。</w:t>
      </w:r>
    </w:p>
    <w:p w:rsidR="00473DDF" w:rsidRDefault="00473DDF" w:rsidP="00822204">
      <w:pPr>
        <w:pStyle w:val="Heading2"/>
        <w:spacing w:beforeLines="50" w:afterLines="50" w:line="360" w:lineRule="auto"/>
        <w:ind w:firstLineChars="200" w:firstLine="480"/>
        <w:rPr>
          <w:rFonts w:ascii="Times New Roman" w:hAnsi="Times New Roman"/>
          <w:b w:val="0"/>
          <w:bCs w:val="0"/>
          <w:color w:val="000000"/>
          <w:sz w:val="24"/>
          <w:szCs w:val="24"/>
        </w:rPr>
      </w:pPr>
      <w:bookmarkStart w:id="12" w:name="_Toc32499190"/>
      <w:r>
        <w:rPr>
          <w:rFonts w:ascii="Times New Roman" w:hAnsi="Times New Roman" w:hint="eastAsia"/>
          <w:b w:val="0"/>
          <w:bCs w:val="0"/>
          <w:color w:val="000000"/>
          <w:sz w:val="24"/>
          <w:szCs w:val="24"/>
        </w:rPr>
        <w:t>十、估价结果</w:t>
      </w:r>
      <w:bookmarkEnd w:id="12"/>
    </w:p>
    <w:p w:rsidR="00473DDF" w:rsidRDefault="00473DDF">
      <w:pPr>
        <w:pStyle w:val="PlainText"/>
        <w:numPr>
          <w:ilvl w:val="0"/>
          <w:numId w:val="5"/>
        </w:numPr>
        <w:spacing w:line="360" w:lineRule="auto"/>
        <w:ind w:firstLineChars="200" w:firstLine="480"/>
        <w:rPr>
          <w:rFonts w:ascii="Times New Roman" w:hAnsi="Times New Roman"/>
          <w:color w:val="000000"/>
          <w:sz w:val="24"/>
        </w:rPr>
      </w:pPr>
      <w:r>
        <w:rPr>
          <w:rFonts w:ascii="Times New Roman" w:hAnsi="Times New Roman" w:hint="eastAsia"/>
          <w:color w:val="000000"/>
          <w:sz w:val="24"/>
        </w:rPr>
        <w:t>估价结果内涵</w:t>
      </w:r>
    </w:p>
    <w:p w:rsidR="00473DDF" w:rsidRDefault="00473DDF">
      <w:pPr>
        <w:pStyle w:val="PlainText"/>
        <w:spacing w:line="360" w:lineRule="auto"/>
        <w:ind w:firstLineChars="200" w:firstLine="480"/>
        <w:rPr>
          <w:rFonts w:ascii="Times New Roman" w:hAnsi="Times New Roman"/>
          <w:color w:val="000000"/>
          <w:sz w:val="24"/>
        </w:rPr>
      </w:pPr>
      <w:r>
        <w:rPr>
          <w:rFonts w:ascii="Times New Roman" w:hAnsi="Times New Roman" w:hint="eastAsia"/>
          <w:color w:val="000000"/>
          <w:sz w:val="24"/>
        </w:rPr>
        <w:t>本次估价是</w:t>
      </w:r>
      <w:r>
        <w:rPr>
          <w:rFonts w:hAnsi="宋体" w:hint="eastAsia"/>
          <w:color w:val="000000"/>
          <w:sz w:val="24"/>
        </w:rPr>
        <w:t>估价对象在价值时点</w:t>
      </w:r>
      <w:r>
        <w:rPr>
          <w:rFonts w:hAnsi="宋体" w:hint="eastAsia"/>
          <w:sz w:val="24"/>
        </w:rPr>
        <w:t>的房地产</w:t>
      </w:r>
      <w:r>
        <w:rPr>
          <w:rFonts w:ascii="Times New Roman" w:hAnsi="Times New Roman" w:hint="eastAsia"/>
          <w:sz w:val="24"/>
        </w:rPr>
        <w:t>市场价值</w:t>
      </w:r>
      <w:r>
        <w:rPr>
          <w:rFonts w:hAnsi="宋体" w:hint="eastAsia"/>
          <w:sz w:val="24"/>
        </w:rPr>
        <w:t>。</w:t>
      </w:r>
      <w:r>
        <w:rPr>
          <w:rFonts w:ascii="Times New Roman" w:hAnsi="Times New Roman" w:hint="eastAsia"/>
          <w:color w:val="000000"/>
          <w:sz w:val="24"/>
        </w:rPr>
        <w:t>市场价值，是估价对象经适当营销后，由熟悉情况、谨慎行事且不受强迫的交易双方，以公平交易方式在价值时点自愿进行交易的金额。</w:t>
      </w:r>
      <w:r>
        <w:rPr>
          <w:rFonts w:hAnsi="宋体" w:hint="eastAsia"/>
          <w:sz w:val="24"/>
        </w:rPr>
        <w:t>市场价值</w:t>
      </w:r>
      <w:r>
        <w:rPr>
          <w:rFonts w:ascii="Times New Roman" w:hAnsi="Times New Roman" w:hint="eastAsia"/>
          <w:color w:val="000000"/>
          <w:sz w:val="24"/>
        </w:rPr>
        <w:t>基于以下假设前提：市场参与者集体的观念和行为，包括：不存在买方因特殊兴趣而给予附加出价；既不过于乐观又不过于保守；最高最佳利用；继续利用或持续经营。本次</w:t>
      </w:r>
      <w:r>
        <w:rPr>
          <w:rFonts w:hAnsi="宋体" w:hint="eastAsia"/>
          <w:sz w:val="24"/>
        </w:rPr>
        <w:t>市场价值</w:t>
      </w:r>
      <w:r>
        <w:rPr>
          <w:rFonts w:ascii="Times New Roman" w:hAnsi="Times New Roman" w:hint="eastAsia"/>
          <w:sz w:val="24"/>
        </w:rPr>
        <w:t>选用比较法及收益法评估得出。</w:t>
      </w:r>
    </w:p>
    <w:p w:rsidR="00473DDF" w:rsidRDefault="00473DDF" w:rsidP="00822204">
      <w:pPr>
        <w:pStyle w:val="PlainText"/>
        <w:spacing w:beforeLines="25" w:afterLines="25" w:line="360" w:lineRule="auto"/>
        <w:ind w:firstLineChars="200" w:firstLine="480"/>
        <w:rPr>
          <w:rFonts w:ascii="Times New Roman" w:hAnsi="Times New Roman"/>
          <w:sz w:val="24"/>
        </w:rPr>
      </w:pPr>
      <w:r>
        <w:rPr>
          <w:rFonts w:ascii="Times New Roman" w:hAnsi="Times New Roman" w:hint="eastAsia"/>
          <w:sz w:val="24"/>
        </w:rPr>
        <w:t>本次估价的估价对象及可比实例的房地产市场价值，包括估价对象建筑物及土地的市场价值，包括估价对象内外不可移动的装饰装修及宗地内基础配套设施价值，不包括估价对象</w:t>
      </w:r>
      <w:r>
        <w:rPr>
          <w:rFonts w:hAnsi="宋体" w:hint="eastAsia"/>
          <w:sz w:val="24"/>
        </w:rPr>
        <w:t>室内可移动的或者拆装后不影响建筑物正常使用的电器、设备、家俱等动产价值，不包括</w:t>
      </w:r>
      <w:r>
        <w:rPr>
          <w:rFonts w:hint="eastAsia"/>
          <w:sz w:val="24"/>
        </w:rPr>
        <w:t>其他特殊高档装修价值，</w:t>
      </w:r>
      <w:r>
        <w:rPr>
          <w:rFonts w:hAnsi="宋体" w:hint="eastAsia"/>
          <w:sz w:val="24"/>
        </w:rPr>
        <w:t>不包括</w:t>
      </w:r>
      <w:r>
        <w:rPr>
          <w:rFonts w:ascii="Times New Roman" w:hAnsi="Times New Roman" w:hint="eastAsia"/>
          <w:sz w:val="24"/>
        </w:rPr>
        <w:t>与估价对象有关的债权债务、特许经营权等其他财产或权益价值。</w:t>
      </w:r>
    </w:p>
    <w:p w:rsidR="00473DDF" w:rsidRDefault="00473DDF" w:rsidP="00822204">
      <w:pPr>
        <w:pStyle w:val="PlainText"/>
        <w:spacing w:beforeLines="25" w:afterLines="25" w:line="360" w:lineRule="auto"/>
        <w:ind w:firstLineChars="200" w:firstLine="480"/>
        <w:rPr>
          <w:rFonts w:hAnsi="宋体"/>
          <w:bCs/>
          <w:sz w:val="24"/>
        </w:rPr>
      </w:pPr>
      <w:r>
        <w:rPr>
          <w:rFonts w:hAnsi="宋体" w:hint="eastAsia"/>
          <w:bCs/>
          <w:sz w:val="24"/>
        </w:rPr>
        <w:t>（二）估价结果</w:t>
      </w:r>
    </w:p>
    <w:p w:rsidR="00473DDF" w:rsidRDefault="00473DDF">
      <w:pPr>
        <w:pStyle w:val="PlainText"/>
        <w:spacing w:line="360" w:lineRule="auto"/>
        <w:ind w:firstLineChars="200" w:firstLine="480"/>
        <w:rPr>
          <w:rFonts w:ascii="Times New Roman" w:hAnsi="Times New Roman"/>
          <w:color w:val="000000"/>
          <w:sz w:val="24"/>
        </w:rPr>
      </w:pPr>
      <w:r>
        <w:rPr>
          <w:rFonts w:ascii="Times New Roman" w:hAnsi="Times New Roman" w:hint="eastAsia"/>
          <w:color w:val="000000"/>
          <w:sz w:val="24"/>
        </w:rPr>
        <w:t>本次估价根据估价目的，遵守公认的估价原则，按照严谨的估价程序，选用适宜的估价方法，在认真分析现有资料的基础上，经过实地查勘和周密测算，并详细考虑了影响房地产价值的各项因素，结合估价经验，最终确定估价对象在价值时点满足本次估价的全部假设和限制条件下的估价结果。</w:t>
      </w:r>
    </w:p>
    <w:p w:rsidR="00473DDF" w:rsidRDefault="00473DDF">
      <w:pPr>
        <w:pStyle w:val="PlainText"/>
        <w:spacing w:line="360" w:lineRule="auto"/>
        <w:ind w:firstLineChars="200" w:firstLine="480"/>
        <w:rPr>
          <w:rFonts w:ascii="Times New Roman" w:hAnsi="Times New Roman"/>
          <w:color w:val="000000"/>
          <w:sz w:val="24"/>
        </w:rPr>
      </w:pPr>
    </w:p>
    <w:tbl>
      <w:tblPr>
        <w:tblW w:w="91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493"/>
        <w:gridCol w:w="923"/>
        <w:gridCol w:w="2394"/>
        <w:gridCol w:w="645"/>
        <w:gridCol w:w="895"/>
        <w:gridCol w:w="910"/>
        <w:gridCol w:w="1005"/>
        <w:gridCol w:w="885"/>
      </w:tblGrid>
      <w:tr w:rsidR="00473DDF">
        <w:trPr>
          <w:trHeight w:val="521"/>
          <w:jc w:val="center"/>
        </w:trPr>
        <w:tc>
          <w:tcPr>
            <w:tcW w:w="1493" w:type="dxa"/>
            <w:tcBorders>
              <w:top w:val="single" w:sz="8" w:space="0" w:color="auto"/>
            </w:tcBorders>
            <w:vAlign w:val="center"/>
          </w:tcPr>
          <w:p w:rsidR="00473DDF" w:rsidRDefault="00473DDF">
            <w:pPr>
              <w:widowControl/>
              <w:jc w:val="center"/>
              <w:textAlignment w:val="center"/>
              <w:rPr>
                <w:rFonts w:ascii="黑体" w:eastAsia="黑体" w:hAnsi="宋体" w:cs="宋体"/>
                <w:kern w:val="0"/>
                <w:szCs w:val="21"/>
              </w:rPr>
            </w:pPr>
            <w:r>
              <w:rPr>
                <w:rFonts w:ascii="黑体" w:eastAsia="黑体" w:hAnsi="宋体" w:cs="黑体" w:hint="eastAsia"/>
                <w:color w:val="000000"/>
                <w:kern w:val="0"/>
                <w:szCs w:val="21"/>
              </w:rPr>
              <w:t>房屋所有权证号</w:t>
            </w:r>
          </w:p>
        </w:tc>
        <w:tc>
          <w:tcPr>
            <w:tcW w:w="923" w:type="dxa"/>
            <w:tcBorders>
              <w:top w:val="single" w:sz="8" w:space="0" w:color="auto"/>
            </w:tcBorders>
            <w:vAlign w:val="center"/>
          </w:tcPr>
          <w:p w:rsidR="00473DDF" w:rsidRDefault="00473DDF">
            <w:pPr>
              <w:widowControl/>
              <w:jc w:val="center"/>
              <w:textAlignment w:val="center"/>
              <w:rPr>
                <w:rFonts w:ascii="黑体" w:eastAsia="黑体" w:hAnsi="宋体" w:cs="宋体"/>
                <w:kern w:val="0"/>
                <w:szCs w:val="21"/>
              </w:rPr>
            </w:pPr>
            <w:r>
              <w:rPr>
                <w:rFonts w:ascii="黑体" w:eastAsia="黑体" w:hAnsi="宋体" w:cs="黑体" w:hint="eastAsia"/>
                <w:color w:val="000000"/>
                <w:kern w:val="0"/>
                <w:szCs w:val="21"/>
              </w:rPr>
              <w:t>权利人</w:t>
            </w:r>
          </w:p>
        </w:tc>
        <w:tc>
          <w:tcPr>
            <w:tcW w:w="2394" w:type="dxa"/>
            <w:tcBorders>
              <w:top w:val="single" w:sz="8" w:space="0" w:color="auto"/>
            </w:tcBorders>
            <w:vAlign w:val="center"/>
          </w:tcPr>
          <w:p w:rsidR="00473DDF" w:rsidRDefault="00473DDF">
            <w:pPr>
              <w:widowControl/>
              <w:jc w:val="center"/>
              <w:rPr>
                <w:rFonts w:ascii="黑体" w:eastAsia="黑体" w:hAnsi="宋体" w:cs="宋体"/>
                <w:kern w:val="0"/>
                <w:szCs w:val="21"/>
              </w:rPr>
            </w:pPr>
            <w:r>
              <w:rPr>
                <w:rFonts w:ascii="黑体" w:eastAsia="黑体" w:hAnsi="宋体" w:cs="宋体" w:hint="eastAsia"/>
                <w:kern w:val="0"/>
                <w:szCs w:val="21"/>
              </w:rPr>
              <w:t>房屋坐落</w:t>
            </w:r>
          </w:p>
        </w:tc>
        <w:tc>
          <w:tcPr>
            <w:tcW w:w="645" w:type="dxa"/>
            <w:tcBorders>
              <w:top w:val="single" w:sz="8" w:space="0" w:color="auto"/>
            </w:tcBorders>
            <w:vAlign w:val="center"/>
          </w:tcPr>
          <w:p w:rsidR="00473DDF" w:rsidRDefault="00473DDF">
            <w:pPr>
              <w:widowControl/>
              <w:jc w:val="center"/>
              <w:rPr>
                <w:rFonts w:ascii="黑体" w:eastAsia="黑体" w:hAnsi="宋体" w:cs="宋体"/>
                <w:kern w:val="0"/>
                <w:szCs w:val="21"/>
              </w:rPr>
            </w:pPr>
            <w:r>
              <w:rPr>
                <w:rFonts w:ascii="黑体" w:eastAsia="黑体" w:hAnsi="宋体" w:cs="宋体" w:hint="eastAsia"/>
                <w:kern w:val="0"/>
                <w:szCs w:val="21"/>
              </w:rPr>
              <w:t>设计用途</w:t>
            </w:r>
          </w:p>
        </w:tc>
        <w:tc>
          <w:tcPr>
            <w:tcW w:w="895" w:type="dxa"/>
            <w:tcBorders>
              <w:top w:val="single" w:sz="8" w:space="0" w:color="auto"/>
            </w:tcBorders>
            <w:vAlign w:val="center"/>
          </w:tcPr>
          <w:p w:rsidR="00473DDF" w:rsidRDefault="00473DDF">
            <w:pPr>
              <w:widowControl/>
              <w:jc w:val="center"/>
              <w:rPr>
                <w:rFonts w:ascii="黑体" w:eastAsia="黑体" w:hAnsi="宋体" w:cs="宋体"/>
                <w:kern w:val="0"/>
                <w:szCs w:val="21"/>
              </w:rPr>
            </w:pPr>
            <w:r>
              <w:rPr>
                <w:rFonts w:ascii="黑体" w:eastAsia="黑体" w:hAnsi="宋体" w:cs="宋体" w:hint="eastAsia"/>
                <w:kern w:val="0"/>
                <w:szCs w:val="21"/>
              </w:rPr>
              <w:t>层数</w:t>
            </w:r>
          </w:p>
        </w:tc>
        <w:tc>
          <w:tcPr>
            <w:tcW w:w="910" w:type="dxa"/>
            <w:tcBorders>
              <w:top w:val="single" w:sz="8" w:space="0" w:color="auto"/>
            </w:tcBorders>
            <w:vAlign w:val="center"/>
          </w:tcPr>
          <w:p w:rsidR="00473DDF" w:rsidRDefault="00473DDF">
            <w:pPr>
              <w:widowControl/>
              <w:jc w:val="center"/>
              <w:rPr>
                <w:rFonts w:ascii="黑体" w:eastAsia="黑体" w:hAnsi="宋体" w:cs="宋体"/>
                <w:kern w:val="0"/>
                <w:szCs w:val="21"/>
              </w:rPr>
            </w:pPr>
            <w:r>
              <w:rPr>
                <w:rFonts w:ascii="黑体" w:eastAsia="黑体" w:hAnsi="宋体" w:cs="宋体" w:hint="eastAsia"/>
                <w:kern w:val="0"/>
                <w:szCs w:val="21"/>
              </w:rPr>
              <w:t>面积（㎡）</w:t>
            </w:r>
          </w:p>
        </w:tc>
        <w:tc>
          <w:tcPr>
            <w:tcW w:w="1005" w:type="dxa"/>
            <w:tcBorders>
              <w:top w:val="single" w:sz="8" w:space="0" w:color="auto"/>
            </w:tcBorders>
            <w:vAlign w:val="center"/>
          </w:tcPr>
          <w:p w:rsidR="00473DDF" w:rsidRDefault="00473DDF">
            <w:pPr>
              <w:widowControl/>
              <w:jc w:val="center"/>
              <w:rPr>
                <w:rFonts w:ascii="黑体" w:eastAsia="黑体" w:hAnsi="宋体" w:cs="宋体"/>
                <w:kern w:val="0"/>
                <w:szCs w:val="21"/>
              </w:rPr>
            </w:pPr>
            <w:r>
              <w:rPr>
                <w:rFonts w:ascii="黑体" w:eastAsia="黑体" w:hAnsi="宋体" w:cs="宋体" w:hint="eastAsia"/>
                <w:kern w:val="0"/>
                <w:szCs w:val="21"/>
              </w:rPr>
              <w:t>单价</w:t>
            </w:r>
          </w:p>
          <w:p w:rsidR="00473DDF" w:rsidRDefault="00473DDF">
            <w:pPr>
              <w:widowControl/>
              <w:jc w:val="center"/>
              <w:rPr>
                <w:rFonts w:ascii="黑体" w:eastAsia="黑体" w:hAnsi="宋体" w:cs="宋体"/>
                <w:kern w:val="0"/>
                <w:szCs w:val="21"/>
              </w:rPr>
            </w:pPr>
            <w:r>
              <w:rPr>
                <w:rFonts w:ascii="黑体" w:eastAsia="黑体" w:hAnsi="宋体" w:cs="宋体" w:hint="eastAsia"/>
                <w:kern w:val="0"/>
                <w:sz w:val="18"/>
                <w:szCs w:val="18"/>
              </w:rPr>
              <w:t>（元</w:t>
            </w:r>
            <w:r>
              <w:rPr>
                <w:rFonts w:ascii="黑体" w:eastAsia="黑体" w:hAnsi="宋体" w:cs="宋体"/>
                <w:kern w:val="0"/>
                <w:sz w:val="18"/>
                <w:szCs w:val="18"/>
              </w:rPr>
              <w:t>/</w:t>
            </w:r>
            <w:r>
              <w:rPr>
                <w:rFonts w:ascii="黑体" w:eastAsia="黑体" w:hAnsi="宋体" w:cs="宋体" w:hint="eastAsia"/>
                <w:kern w:val="0"/>
                <w:sz w:val="18"/>
                <w:szCs w:val="18"/>
              </w:rPr>
              <w:t>㎡）</w:t>
            </w:r>
          </w:p>
        </w:tc>
        <w:tc>
          <w:tcPr>
            <w:tcW w:w="885" w:type="dxa"/>
            <w:tcBorders>
              <w:top w:val="single" w:sz="8" w:space="0" w:color="auto"/>
            </w:tcBorders>
            <w:vAlign w:val="center"/>
          </w:tcPr>
          <w:p w:rsidR="00473DDF" w:rsidRDefault="00473DDF">
            <w:pPr>
              <w:widowControl/>
              <w:jc w:val="center"/>
              <w:rPr>
                <w:rFonts w:ascii="黑体" w:eastAsia="黑体" w:hAnsi="宋体" w:cs="宋体"/>
                <w:kern w:val="0"/>
                <w:szCs w:val="21"/>
              </w:rPr>
            </w:pPr>
            <w:r>
              <w:rPr>
                <w:rFonts w:ascii="黑体" w:eastAsia="黑体" w:hAnsi="宋体" w:cs="宋体" w:hint="eastAsia"/>
                <w:kern w:val="0"/>
                <w:szCs w:val="21"/>
              </w:rPr>
              <w:t>总价</w:t>
            </w:r>
          </w:p>
          <w:p w:rsidR="00473DDF" w:rsidRDefault="00473DDF">
            <w:pPr>
              <w:widowControl/>
              <w:jc w:val="center"/>
              <w:rPr>
                <w:rFonts w:ascii="黑体" w:eastAsia="黑体" w:hAnsi="宋体" w:cs="宋体"/>
                <w:kern w:val="0"/>
                <w:sz w:val="18"/>
                <w:szCs w:val="18"/>
              </w:rPr>
            </w:pPr>
            <w:r>
              <w:rPr>
                <w:rFonts w:ascii="黑体" w:eastAsia="黑体" w:hAnsi="宋体" w:cs="宋体" w:hint="eastAsia"/>
                <w:kern w:val="0"/>
                <w:sz w:val="18"/>
                <w:szCs w:val="18"/>
              </w:rPr>
              <w:t>（万元）</w:t>
            </w:r>
          </w:p>
        </w:tc>
      </w:tr>
      <w:tr w:rsidR="00473DDF">
        <w:trPr>
          <w:trHeight w:val="521"/>
          <w:jc w:val="center"/>
        </w:trPr>
        <w:tc>
          <w:tcPr>
            <w:tcW w:w="1493" w:type="dxa"/>
            <w:tcBorders>
              <w:top w:val="single" w:sz="8" w:space="0" w:color="auto"/>
            </w:tcBorders>
            <w:vAlign w:val="center"/>
          </w:tcPr>
          <w:p w:rsidR="00473DDF" w:rsidRDefault="00473DDF">
            <w:pPr>
              <w:widowControl/>
              <w:jc w:val="center"/>
              <w:textAlignment w:val="center"/>
              <w:rPr>
                <w:rFonts w:ascii="黑体" w:eastAsia="黑体" w:hAnsi="宋体" w:cs="宋体"/>
                <w:kern w:val="0"/>
                <w:szCs w:val="21"/>
              </w:rPr>
            </w:pPr>
            <w:r>
              <w:rPr>
                <w:rFonts w:ascii="宋体" w:hAnsi="宋体" w:cs="宋体" w:hint="eastAsia"/>
                <w:color w:val="000000"/>
                <w:kern w:val="0"/>
                <w:szCs w:val="21"/>
              </w:rPr>
              <w:t>丹东市房权证振兴区字第</w:t>
            </w:r>
            <w:r>
              <w:rPr>
                <w:rFonts w:ascii="宋体" w:hAnsi="宋体" w:cs="宋体"/>
                <w:color w:val="000000"/>
                <w:kern w:val="0"/>
                <w:szCs w:val="21"/>
              </w:rPr>
              <w:t>20090421096-1</w:t>
            </w:r>
            <w:r>
              <w:rPr>
                <w:rFonts w:ascii="宋体" w:hAnsi="宋体" w:cs="宋体" w:hint="eastAsia"/>
                <w:color w:val="000000"/>
                <w:kern w:val="0"/>
                <w:szCs w:val="21"/>
              </w:rPr>
              <w:t>号</w:t>
            </w:r>
          </w:p>
        </w:tc>
        <w:tc>
          <w:tcPr>
            <w:tcW w:w="923" w:type="dxa"/>
            <w:tcBorders>
              <w:top w:val="single" w:sz="8" w:space="0" w:color="auto"/>
            </w:tcBorders>
            <w:vAlign w:val="center"/>
          </w:tcPr>
          <w:p w:rsidR="00473DDF" w:rsidRDefault="00473DDF">
            <w:pPr>
              <w:widowControl/>
              <w:jc w:val="center"/>
              <w:textAlignment w:val="center"/>
              <w:rPr>
                <w:rFonts w:ascii="宋体" w:cs="宋体"/>
                <w:color w:val="000000"/>
                <w:kern w:val="0"/>
                <w:szCs w:val="21"/>
              </w:rPr>
            </w:pPr>
            <w:r>
              <w:rPr>
                <w:rFonts w:ascii="宋体" w:hAnsi="宋体" w:cs="宋体" w:hint="eastAsia"/>
                <w:color w:val="000000"/>
                <w:kern w:val="0"/>
                <w:szCs w:val="21"/>
              </w:rPr>
              <w:t>卓国彪、尹敬善</w:t>
            </w:r>
          </w:p>
        </w:tc>
        <w:tc>
          <w:tcPr>
            <w:tcW w:w="2394" w:type="dxa"/>
            <w:tcBorders>
              <w:top w:val="single" w:sz="8" w:space="0" w:color="auto"/>
            </w:tcBorders>
            <w:vAlign w:val="center"/>
          </w:tcPr>
          <w:p w:rsidR="00473DDF" w:rsidRDefault="00473DDF">
            <w:pPr>
              <w:widowControl/>
              <w:jc w:val="center"/>
              <w:textAlignment w:val="center"/>
              <w:rPr>
                <w:rFonts w:ascii="黑体" w:eastAsia="黑体" w:hAnsi="宋体" w:cs="宋体"/>
                <w:kern w:val="0"/>
                <w:szCs w:val="21"/>
              </w:rPr>
            </w:pPr>
            <w:r>
              <w:rPr>
                <w:rFonts w:ascii="宋体" w:hAnsi="宋体" w:cs="宋体" w:hint="eastAsia"/>
                <w:color w:val="000000"/>
                <w:kern w:val="0"/>
                <w:szCs w:val="21"/>
              </w:rPr>
              <w:t>丹东市振兴区滨江中路</w:t>
            </w:r>
            <w:r>
              <w:rPr>
                <w:rFonts w:ascii="宋体" w:hAnsi="宋体" w:cs="宋体"/>
                <w:color w:val="000000"/>
                <w:kern w:val="0"/>
                <w:szCs w:val="21"/>
              </w:rPr>
              <w:t>132</w:t>
            </w:r>
            <w:r>
              <w:rPr>
                <w:rFonts w:ascii="宋体" w:hAnsi="宋体" w:cs="宋体" w:hint="eastAsia"/>
                <w:color w:val="000000"/>
                <w:kern w:val="0"/>
                <w:szCs w:val="21"/>
              </w:rPr>
              <w:t>号</w:t>
            </w:r>
            <w:r>
              <w:rPr>
                <w:rFonts w:ascii="宋体" w:hAnsi="宋体" w:cs="宋体"/>
                <w:color w:val="000000"/>
                <w:kern w:val="0"/>
                <w:szCs w:val="21"/>
              </w:rPr>
              <w:t>2704</w:t>
            </w:r>
            <w:r>
              <w:rPr>
                <w:rFonts w:ascii="宋体" w:hAnsi="宋体" w:cs="宋体" w:hint="eastAsia"/>
                <w:color w:val="000000"/>
                <w:kern w:val="0"/>
                <w:szCs w:val="21"/>
              </w:rPr>
              <w:t>室“太阳世纪广场”小区</w:t>
            </w:r>
          </w:p>
        </w:tc>
        <w:tc>
          <w:tcPr>
            <w:tcW w:w="645" w:type="dxa"/>
            <w:tcBorders>
              <w:top w:val="single" w:sz="8" w:space="0" w:color="auto"/>
            </w:tcBorders>
            <w:vAlign w:val="center"/>
          </w:tcPr>
          <w:p w:rsidR="00473DDF" w:rsidRDefault="00473DDF">
            <w:pPr>
              <w:widowControl/>
              <w:jc w:val="center"/>
              <w:textAlignment w:val="center"/>
              <w:rPr>
                <w:rFonts w:ascii="黑体" w:eastAsia="黑体" w:hAnsi="宋体" w:cs="宋体"/>
                <w:kern w:val="0"/>
                <w:szCs w:val="21"/>
              </w:rPr>
            </w:pPr>
            <w:r>
              <w:rPr>
                <w:rFonts w:ascii="宋体" w:hAnsi="宋体" w:cs="宋体" w:hint="eastAsia"/>
                <w:color w:val="000000"/>
                <w:kern w:val="0"/>
                <w:szCs w:val="21"/>
              </w:rPr>
              <w:t>成套住宅</w:t>
            </w:r>
          </w:p>
        </w:tc>
        <w:tc>
          <w:tcPr>
            <w:tcW w:w="895" w:type="dxa"/>
            <w:tcBorders>
              <w:top w:val="single" w:sz="8" w:space="0" w:color="auto"/>
            </w:tcBorders>
            <w:vAlign w:val="center"/>
          </w:tcPr>
          <w:p w:rsidR="00473DDF" w:rsidRDefault="00473DDF">
            <w:pPr>
              <w:widowControl/>
              <w:jc w:val="center"/>
              <w:textAlignment w:val="center"/>
              <w:rPr>
                <w:rFonts w:ascii="黑体" w:eastAsia="黑体" w:hAnsi="宋体" w:cs="宋体"/>
                <w:kern w:val="0"/>
                <w:szCs w:val="21"/>
              </w:rPr>
            </w:pPr>
            <w:r>
              <w:rPr>
                <w:rFonts w:ascii="宋体" w:hAnsi="宋体" w:cs="宋体"/>
                <w:color w:val="000000"/>
                <w:kern w:val="0"/>
                <w:szCs w:val="21"/>
              </w:rPr>
              <w:t>27/32</w:t>
            </w:r>
            <w:r>
              <w:rPr>
                <w:rFonts w:ascii="宋体" w:hAnsi="宋体" w:cs="宋体" w:hint="eastAsia"/>
                <w:color w:val="000000"/>
                <w:kern w:val="0"/>
                <w:szCs w:val="21"/>
              </w:rPr>
              <w:t>层</w:t>
            </w:r>
          </w:p>
        </w:tc>
        <w:tc>
          <w:tcPr>
            <w:tcW w:w="910" w:type="dxa"/>
            <w:tcBorders>
              <w:top w:val="single" w:sz="8" w:space="0" w:color="auto"/>
            </w:tcBorders>
            <w:vAlign w:val="center"/>
          </w:tcPr>
          <w:p w:rsidR="00473DDF" w:rsidRDefault="00473DDF">
            <w:pPr>
              <w:widowControl/>
              <w:jc w:val="center"/>
              <w:textAlignment w:val="center"/>
              <w:rPr>
                <w:rFonts w:ascii="黑体" w:eastAsia="黑体" w:hAnsi="宋体" w:cs="宋体"/>
                <w:kern w:val="0"/>
                <w:szCs w:val="21"/>
              </w:rPr>
            </w:pPr>
            <w:r>
              <w:rPr>
                <w:rFonts w:ascii="宋体" w:hAnsi="宋体" w:cs="宋体"/>
                <w:color w:val="000000"/>
                <w:kern w:val="0"/>
                <w:szCs w:val="21"/>
              </w:rPr>
              <w:t>228.24</w:t>
            </w:r>
          </w:p>
        </w:tc>
        <w:tc>
          <w:tcPr>
            <w:tcW w:w="1005" w:type="dxa"/>
            <w:tcBorders>
              <w:top w:val="single" w:sz="8" w:space="0" w:color="auto"/>
            </w:tcBorders>
            <w:vAlign w:val="center"/>
          </w:tcPr>
          <w:p w:rsidR="00473DDF" w:rsidRDefault="00473DDF">
            <w:pPr>
              <w:widowControl/>
              <w:jc w:val="center"/>
              <w:textAlignment w:val="center"/>
              <w:rPr>
                <w:rFonts w:ascii="黑体" w:eastAsia="黑体" w:hAnsi="宋体" w:cs="宋体"/>
                <w:kern w:val="0"/>
                <w:sz w:val="18"/>
                <w:szCs w:val="18"/>
              </w:rPr>
            </w:pPr>
            <w:r>
              <w:rPr>
                <w:rFonts w:ascii="宋体" w:hAnsi="宋体" w:cs="宋体"/>
                <w:color w:val="000000"/>
                <w:kern w:val="0"/>
                <w:szCs w:val="21"/>
              </w:rPr>
              <w:t>10,235</w:t>
            </w:r>
          </w:p>
        </w:tc>
        <w:tc>
          <w:tcPr>
            <w:tcW w:w="885" w:type="dxa"/>
            <w:tcBorders>
              <w:top w:val="single" w:sz="8" w:space="0" w:color="auto"/>
            </w:tcBorders>
            <w:vAlign w:val="center"/>
          </w:tcPr>
          <w:p w:rsidR="00473DDF" w:rsidRDefault="00473DDF">
            <w:pPr>
              <w:widowControl/>
              <w:jc w:val="center"/>
              <w:textAlignment w:val="center"/>
              <w:rPr>
                <w:rFonts w:ascii="宋体" w:cs="宋体"/>
                <w:color w:val="000000"/>
                <w:kern w:val="0"/>
                <w:szCs w:val="21"/>
              </w:rPr>
            </w:pPr>
            <w:r>
              <w:rPr>
                <w:rFonts w:ascii="宋体" w:hAnsi="宋体" w:cs="宋体"/>
                <w:color w:val="000000"/>
                <w:kern w:val="0"/>
                <w:szCs w:val="21"/>
              </w:rPr>
              <w:t>233.60</w:t>
            </w:r>
          </w:p>
        </w:tc>
      </w:tr>
      <w:tr w:rsidR="00473DDF">
        <w:trPr>
          <w:trHeight w:val="534"/>
          <w:jc w:val="center"/>
        </w:trPr>
        <w:tc>
          <w:tcPr>
            <w:tcW w:w="2416" w:type="dxa"/>
            <w:gridSpan w:val="2"/>
            <w:vAlign w:val="center"/>
          </w:tcPr>
          <w:p w:rsidR="00473DDF" w:rsidRDefault="00473DDF">
            <w:pPr>
              <w:widowControl/>
              <w:jc w:val="center"/>
              <w:rPr>
                <w:rFonts w:ascii="宋体" w:cs="宋体"/>
                <w:b/>
                <w:kern w:val="0"/>
                <w:szCs w:val="21"/>
              </w:rPr>
            </w:pPr>
            <w:r>
              <w:rPr>
                <w:rFonts w:ascii="宋体" w:hAnsi="宋体" w:cs="宋体" w:hint="eastAsia"/>
                <w:b/>
                <w:kern w:val="0"/>
                <w:szCs w:val="21"/>
              </w:rPr>
              <w:t>合</w:t>
            </w:r>
            <w:r>
              <w:rPr>
                <w:rFonts w:ascii="宋体" w:hAnsi="宋体" w:cs="宋体"/>
                <w:b/>
                <w:kern w:val="0"/>
                <w:szCs w:val="21"/>
              </w:rPr>
              <w:t xml:space="preserve"> </w:t>
            </w:r>
            <w:r>
              <w:rPr>
                <w:rFonts w:ascii="宋体" w:hAnsi="宋体" w:cs="宋体" w:hint="eastAsia"/>
                <w:b/>
                <w:kern w:val="0"/>
                <w:szCs w:val="21"/>
              </w:rPr>
              <w:t>计</w:t>
            </w:r>
          </w:p>
        </w:tc>
        <w:tc>
          <w:tcPr>
            <w:tcW w:w="2394" w:type="dxa"/>
            <w:vAlign w:val="center"/>
          </w:tcPr>
          <w:p w:rsidR="00473DDF" w:rsidRDefault="00473DDF">
            <w:pPr>
              <w:jc w:val="center"/>
              <w:rPr>
                <w:rFonts w:ascii="宋体" w:cs="宋体"/>
                <w:b/>
                <w:kern w:val="0"/>
                <w:szCs w:val="21"/>
              </w:rPr>
            </w:pPr>
            <w:r>
              <w:rPr>
                <w:rFonts w:ascii="宋体" w:hAnsi="宋体" w:cs="宋体"/>
                <w:b/>
                <w:kern w:val="0"/>
                <w:szCs w:val="21"/>
              </w:rPr>
              <w:t>——</w:t>
            </w:r>
          </w:p>
        </w:tc>
        <w:tc>
          <w:tcPr>
            <w:tcW w:w="645" w:type="dxa"/>
            <w:vAlign w:val="center"/>
          </w:tcPr>
          <w:p w:rsidR="00473DDF" w:rsidRDefault="00473DDF">
            <w:pPr>
              <w:jc w:val="center"/>
              <w:rPr>
                <w:rFonts w:ascii="宋体" w:cs="宋体"/>
                <w:b/>
                <w:kern w:val="0"/>
                <w:szCs w:val="21"/>
              </w:rPr>
            </w:pPr>
            <w:r>
              <w:rPr>
                <w:rFonts w:ascii="宋体" w:hAnsi="宋体" w:cs="宋体"/>
                <w:b/>
                <w:kern w:val="0"/>
                <w:szCs w:val="21"/>
              </w:rPr>
              <w:t>——</w:t>
            </w:r>
          </w:p>
        </w:tc>
        <w:tc>
          <w:tcPr>
            <w:tcW w:w="895" w:type="dxa"/>
            <w:vAlign w:val="center"/>
          </w:tcPr>
          <w:p w:rsidR="00473DDF" w:rsidRDefault="00473DDF">
            <w:pPr>
              <w:jc w:val="center"/>
              <w:rPr>
                <w:b/>
                <w:kern w:val="0"/>
                <w:szCs w:val="21"/>
              </w:rPr>
            </w:pPr>
            <w:r>
              <w:rPr>
                <w:b/>
                <w:kern w:val="0"/>
                <w:szCs w:val="21"/>
              </w:rPr>
              <w:t>——</w:t>
            </w:r>
          </w:p>
        </w:tc>
        <w:tc>
          <w:tcPr>
            <w:tcW w:w="910" w:type="dxa"/>
            <w:vAlign w:val="center"/>
          </w:tcPr>
          <w:p w:rsidR="00473DDF" w:rsidRDefault="00473DDF">
            <w:pPr>
              <w:widowControl/>
              <w:jc w:val="center"/>
              <w:textAlignment w:val="center"/>
              <w:rPr>
                <w:b/>
                <w:kern w:val="0"/>
                <w:szCs w:val="21"/>
              </w:rPr>
            </w:pPr>
            <w:r>
              <w:rPr>
                <w:rFonts w:ascii="宋体" w:hAnsi="宋体" w:cs="宋体"/>
                <w:b/>
                <w:color w:val="000000"/>
                <w:kern w:val="0"/>
                <w:szCs w:val="21"/>
              </w:rPr>
              <w:t>228.24</w:t>
            </w:r>
          </w:p>
        </w:tc>
        <w:tc>
          <w:tcPr>
            <w:tcW w:w="1005" w:type="dxa"/>
            <w:vAlign w:val="center"/>
          </w:tcPr>
          <w:p w:rsidR="00473DDF" w:rsidRDefault="00473DDF">
            <w:pPr>
              <w:widowControl/>
              <w:jc w:val="center"/>
              <w:textAlignment w:val="center"/>
              <w:rPr>
                <w:b/>
                <w:szCs w:val="21"/>
              </w:rPr>
            </w:pPr>
            <w:r>
              <w:rPr>
                <w:rFonts w:ascii="宋体" w:hAnsi="宋体" w:cs="宋体"/>
                <w:b/>
                <w:color w:val="000000"/>
                <w:kern w:val="0"/>
                <w:szCs w:val="21"/>
              </w:rPr>
              <w:t>——</w:t>
            </w:r>
          </w:p>
        </w:tc>
        <w:tc>
          <w:tcPr>
            <w:tcW w:w="885" w:type="dxa"/>
            <w:vAlign w:val="center"/>
          </w:tcPr>
          <w:p w:rsidR="00473DDF" w:rsidRDefault="00473DDF">
            <w:pPr>
              <w:widowControl/>
              <w:jc w:val="center"/>
              <w:textAlignment w:val="center"/>
              <w:rPr>
                <w:b/>
                <w:szCs w:val="21"/>
              </w:rPr>
            </w:pPr>
          </w:p>
        </w:tc>
      </w:tr>
      <w:tr w:rsidR="00473DDF">
        <w:trPr>
          <w:trHeight w:val="534"/>
          <w:jc w:val="center"/>
        </w:trPr>
        <w:tc>
          <w:tcPr>
            <w:tcW w:w="2416" w:type="dxa"/>
            <w:gridSpan w:val="2"/>
            <w:tcBorders>
              <w:bottom w:val="single" w:sz="8" w:space="0" w:color="auto"/>
            </w:tcBorders>
            <w:vAlign w:val="center"/>
          </w:tcPr>
          <w:p w:rsidR="00473DDF" w:rsidRDefault="00473DDF">
            <w:pPr>
              <w:widowControl/>
              <w:jc w:val="center"/>
              <w:rPr>
                <w:rFonts w:ascii="宋体" w:cs="宋体"/>
                <w:b/>
                <w:kern w:val="0"/>
                <w:szCs w:val="21"/>
              </w:rPr>
            </w:pPr>
            <w:r>
              <w:rPr>
                <w:rFonts w:ascii="宋体" w:hAnsi="宋体" w:cs="宋体" w:hint="eastAsia"/>
                <w:b/>
                <w:kern w:val="0"/>
                <w:szCs w:val="21"/>
              </w:rPr>
              <w:t>人民币大写金额</w:t>
            </w:r>
          </w:p>
        </w:tc>
        <w:tc>
          <w:tcPr>
            <w:tcW w:w="6734" w:type="dxa"/>
            <w:gridSpan w:val="6"/>
            <w:tcBorders>
              <w:bottom w:val="single" w:sz="8" w:space="0" w:color="auto"/>
            </w:tcBorders>
            <w:vAlign w:val="center"/>
          </w:tcPr>
          <w:p w:rsidR="00473DDF" w:rsidRDefault="00473DDF">
            <w:pPr>
              <w:jc w:val="center"/>
              <w:rPr>
                <w:b/>
                <w:szCs w:val="21"/>
              </w:rPr>
            </w:pPr>
            <w:r>
              <w:rPr>
                <w:b/>
                <w:szCs w:val="21"/>
              </w:rPr>
              <w:fldChar w:fldCharType="begin"/>
            </w:r>
            <w:r>
              <w:rPr>
                <w:b/>
                <w:szCs w:val="21"/>
              </w:rPr>
              <w:instrText xml:space="preserve"> = 210000 \* CHINESENUM2 </w:instrText>
            </w:r>
            <w:r>
              <w:rPr>
                <w:b/>
                <w:szCs w:val="21"/>
              </w:rPr>
              <w:fldChar w:fldCharType="separate"/>
            </w:r>
            <w:r>
              <w:rPr>
                <w:rFonts w:hint="eastAsia"/>
                <w:b/>
                <w:szCs w:val="21"/>
              </w:rPr>
              <w:t>贰佰叁拾叁万陆仟</w:t>
            </w:r>
            <w:r>
              <w:rPr>
                <w:b/>
                <w:szCs w:val="21"/>
              </w:rPr>
              <w:fldChar w:fldCharType="end"/>
            </w:r>
            <w:r>
              <w:rPr>
                <w:rFonts w:hint="eastAsia"/>
                <w:b/>
                <w:szCs w:val="21"/>
              </w:rPr>
              <w:t>元整</w:t>
            </w:r>
          </w:p>
        </w:tc>
      </w:tr>
    </w:tbl>
    <w:p w:rsidR="00473DDF" w:rsidRDefault="00473DDF" w:rsidP="00822204">
      <w:pPr>
        <w:pStyle w:val="PlainText"/>
        <w:spacing w:beforeLines="25" w:afterLines="25" w:line="360" w:lineRule="auto"/>
        <w:ind w:firstLineChars="200" w:firstLine="480"/>
        <w:rPr>
          <w:color w:val="000000"/>
          <w:sz w:val="24"/>
        </w:rPr>
      </w:pPr>
    </w:p>
    <w:p w:rsidR="00473DDF" w:rsidRDefault="00473DDF" w:rsidP="00822204">
      <w:pPr>
        <w:pStyle w:val="PlainText"/>
        <w:spacing w:beforeLines="25" w:afterLines="25" w:line="360" w:lineRule="auto"/>
        <w:ind w:firstLineChars="200" w:firstLine="480"/>
        <w:rPr>
          <w:color w:val="000000"/>
          <w:sz w:val="24"/>
        </w:rPr>
      </w:pPr>
      <w:r>
        <w:rPr>
          <w:rFonts w:hint="eastAsia"/>
          <w:color w:val="000000"/>
          <w:sz w:val="24"/>
        </w:rPr>
        <w:t>本次估价所确定的</w:t>
      </w:r>
      <w:r>
        <w:rPr>
          <w:rFonts w:hint="eastAsia"/>
          <w:sz w:val="24"/>
        </w:rPr>
        <w:t>估价对象在价值时点的房地产市场价值，</w:t>
      </w:r>
      <w:r>
        <w:rPr>
          <w:rFonts w:hint="eastAsia"/>
          <w:color w:val="000000"/>
          <w:sz w:val="24"/>
        </w:rPr>
        <w:t>是在本次估价特定目的及假设条件下形成的，未考虑强制处分、快速变现、处置费用、交易税费等因素的影响。未考虑估价对象及其所有权人已承担的债务、或有债务及经营决策失误或市场运作失当对估价结果可能产生的影响，也未考虑到估价对象将来可能承担违约责任的事宜，以及特殊交易方式下的特殊交易价格等对估价结果产生的影响。</w:t>
      </w:r>
    </w:p>
    <w:p w:rsidR="00473DDF" w:rsidRDefault="00473DDF" w:rsidP="00822204">
      <w:pPr>
        <w:spacing w:beforeLines="25" w:afterLines="25" w:line="360" w:lineRule="auto"/>
        <w:ind w:firstLineChars="200" w:firstLine="480"/>
        <w:rPr>
          <w:color w:val="000000"/>
          <w:sz w:val="24"/>
        </w:rPr>
      </w:pPr>
      <w:r>
        <w:rPr>
          <w:rFonts w:hint="eastAsia"/>
          <w:color w:val="000000"/>
          <w:sz w:val="24"/>
        </w:rPr>
        <w:t>本估价报告的估价结果是在正常市场状况下形成的，未考虑国家宏观经济政策发生变化、</w:t>
      </w:r>
      <w:r>
        <w:rPr>
          <w:rFonts w:hAnsi="宋体" w:hint="eastAsia"/>
          <w:sz w:val="24"/>
        </w:rPr>
        <w:t>市场供应关系变化、市场结构转变、遇有自然力和其他不可抗力等因素对估价结果可能产生的影响</w:t>
      </w:r>
      <w:r>
        <w:rPr>
          <w:rFonts w:hint="eastAsia"/>
          <w:color w:val="000000"/>
          <w:sz w:val="24"/>
        </w:rPr>
        <w:t>。</w:t>
      </w:r>
    </w:p>
    <w:p w:rsidR="00473DDF" w:rsidRDefault="00473DDF" w:rsidP="00822204">
      <w:pPr>
        <w:pStyle w:val="Heading2"/>
        <w:spacing w:beforeLines="50" w:afterLines="50" w:line="360" w:lineRule="auto"/>
        <w:ind w:firstLineChars="200" w:firstLine="480"/>
        <w:rPr>
          <w:rFonts w:ascii="Times New Roman" w:hAnsi="Times New Roman"/>
          <w:b w:val="0"/>
          <w:sz w:val="24"/>
          <w:szCs w:val="24"/>
        </w:rPr>
      </w:pPr>
      <w:bookmarkStart w:id="13" w:name="_Toc32499191"/>
      <w:r>
        <w:rPr>
          <w:rFonts w:ascii="Times New Roman" w:hAnsi="Times New Roman" w:hint="eastAsia"/>
          <w:b w:val="0"/>
          <w:sz w:val="24"/>
          <w:szCs w:val="24"/>
        </w:rPr>
        <w:t>十一、</w:t>
      </w:r>
      <w:r>
        <w:rPr>
          <w:rFonts w:ascii="黑体" w:hAnsi="黑体" w:hint="eastAsia"/>
          <w:b w:val="0"/>
          <w:sz w:val="24"/>
          <w:szCs w:val="24"/>
        </w:rPr>
        <w:t>注册房地产估价师</w:t>
      </w:r>
      <w:bookmarkEnd w:id="13"/>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94"/>
        <w:gridCol w:w="3087"/>
        <w:gridCol w:w="2252"/>
        <w:gridCol w:w="1998"/>
      </w:tblGrid>
      <w:tr w:rsidR="00473DDF">
        <w:trPr>
          <w:trHeight w:val="437"/>
        </w:trPr>
        <w:tc>
          <w:tcPr>
            <w:tcW w:w="994" w:type="dxa"/>
            <w:tcBorders>
              <w:top w:val="single" w:sz="8" w:space="0" w:color="auto"/>
            </w:tcBorders>
            <w:vAlign w:val="center"/>
          </w:tcPr>
          <w:p w:rsidR="00473DDF" w:rsidRDefault="00473DDF">
            <w:pPr>
              <w:pStyle w:val="PlainText"/>
              <w:adjustRightInd w:val="0"/>
              <w:snapToGrid w:val="0"/>
              <w:jc w:val="center"/>
              <w:rPr>
                <w:rFonts w:ascii="Times New Roman" w:eastAsia="黑体" w:hAnsi="Times New Roman"/>
                <w:szCs w:val="21"/>
              </w:rPr>
            </w:pPr>
            <w:r>
              <w:rPr>
                <w:rFonts w:ascii="Times New Roman" w:eastAsia="黑体" w:hAnsi="Times New Roman" w:hint="eastAsia"/>
                <w:szCs w:val="21"/>
              </w:rPr>
              <w:t>姓</w:t>
            </w:r>
            <w:r>
              <w:rPr>
                <w:rFonts w:ascii="Times New Roman" w:eastAsia="黑体" w:hAnsi="Times New Roman"/>
                <w:szCs w:val="21"/>
              </w:rPr>
              <w:t xml:space="preserve">  </w:t>
            </w:r>
            <w:r>
              <w:rPr>
                <w:rFonts w:ascii="Times New Roman" w:eastAsia="黑体" w:hAnsi="Times New Roman" w:hint="eastAsia"/>
                <w:szCs w:val="21"/>
              </w:rPr>
              <w:t>名</w:t>
            </w:r>
          </w:p>
        </w:tc>
        <w:tc>
          <w:tcPr>
            <w:tcW w:w="3087" w:type="dxa"/>
            <w:tcBorders>
              <w:top w:val="single" w:sz="8" w:space="0" w:color="auto"/>
            </w:tcBorders>
            <w:vAlign w:val="center"/>
          </w:tcPr>
          <w:p w:rsidR="00473DDF" w:rsidRDefault="00473DDF">
            <w:pPr>
              <w:pStyle w:val="PlainText"/>
              <w:adjustRightInd w:val="0"/>
              <w:snapToGrid w:val="0"/>
              <w:jc w:val="center"/>
              <w:rPr>
                <w:rFonts w:ascii="Times New Roman" w:eastAsia="黑体" w:hAnsi="Times New Roman"/>
                <w:szCs w:val="21"/>
              </w:rPr>
            </w:pPr>
            <w:r>
              <w:rPr>
                <w:rFonts w:ascii="Times New Roman" w:eastAsia="黑体" w:hAnsi="Times New Roman" w:hint="eastAsia"/>
                <w:szCs w:val="21"/>
              </w:rPr>
              <w:t>注册号</w:t>
            </w:r>
          </w:p>
        </w:tc>
        <w:tc>
          <w:tcPr>
            <w:tcW w:w="2252" w:type="dxa"/>
            <w:tcBorders>
              <w:top w:val="single" w:sz="8" w:space="0" w:color="auto"/>
            </w:tcBorders>
            <w:vAlign w:val="center"/>
          </w:tcPr>
          <w:p w:rsidR="00473DDF" w:rsidRDefault="00473DDF">
            <w:pPr>
              <w:pStyle w:val="PlainText"/>
              <w:adjustRightInd w:val="0"/>
              <w:snapToGrid w:val="0"/>
              <w:jc w:val="center"/>
              <w:rPr>
                <w:rFonts w:ascii="Times New Roman" w:eastAsia="黑体" w:hAnsi="Times New Roman"/>
                <w:szCs w:val="21"/>
              </w:rPr>
            </w:pPr>
            <w:r>
              <w:rPr>
                <w:rFonts w:ascii="Times New Roman" w:eastAsia="黑体" w:hAnsi="Times New Roman" w:hint="eastAsia"/>
                <w:szCs w:val="21"/>
              </w:rPr>
              <w:t>签</w:t>
            </w:r>
            <w:r>
              <w:rPr>
                <w:rFonts w:ascii="Times New Roman" w:eastAsia="黑体" w:hAnsi="Times New Roman"/>
                <w:szCs w:val="21"/>
              </w:rPr>
              <w:t xml:space="preserve">  </w:t>
            </w:r>
            <w:r>
              <w:rPr>
                <w:rFonts w:ascii="Times New Roman" w:eastAsia="黑体" w:hAnsi="Times New Roman" w:hint="eastAsia"/>
                <w:szCs w:val="21"/>
              </w:rPr>
              <w:t>名</w:t>
            </w:r>
          </w:p>
        </w:tc>
        <w:tc>
          <w:tcPr>
            <w:tcW w:w="1998" w:type="dxa"/>
            <w:tcBorders>
              <w:top w:val="single" w:sz="8" w:space="0" w:color="auto"/>
            </w:tcBorders>
            <w:vAlign w:val="center"/>
          </w:tcPr>
          <w:p w:rsidR="00473DDF" w:rsidRDefault="00473DDF">
            <w:pPr>
              <w:pStyle w:val="PlainText"/>
              <w:adjustRightInd w:val="0"/>
              <w:snapToGrid w:val="0"/>
              <w:jc w:val="center"/>
              <w:rPr>
                <w:rFonts w:ascii="Times New Roman" w:eastAsia="黑体" w:hAnsi="Times New Roman"/>
                <w:szCs w:val="21"/>
              </w:rPr>
            </w:pPr>
            <w:r>
              <w:rPr>
                <w:rFonts w:ascii="Times New Roman" w:eastAsia="黑体" w:hAnsi="Times New Roman" w:hint="eastAsia"/>
                <w:szCs w:val="21"/>
              </w:rPr>
              <w:t>签名日期</w:t>
            </w:r>
          </w:p>
        </w:tc>
      </w:tr>
      <w:tr w:rsidR="00473DDF">
        <w:trPr>
          <w:trHeight w:val="1528"/>
        </w:trPr>
        <w:tc>
          <w:tcPr>
            <w:tcW w:w="994" w:type="dxa"/>
            <w:vAlign w:val="center"/>
          </w:tcPr>
          <w:p w:rsidR="00473DDF" w:rsidRDefault="00473DDF" w:rsidP="00822204">
            <w:pPr>
              <w:pStyle w:val="PlainText"/>
              <w:spacing w:beforeLines="25" w:afterLines="25" w:line="300" w:lineRule="auto"/>
              <w:jc w:val="center"/>
              <w:rPr>
                <w:rFonts w:ascii="Times New Roman" w:hAnsi="Times New Roman"/>
                <w:szCs w:val="21"/>
              </w:rPr>
            </w:pPr>
            <w:r>
              <w:rPr>
                <w:rFonts w:ascii="Times New Roman" w:hAnsi="Times New Roman" w:hint="eastAsia"/>
                <w:szCs w:val="21"/>
              </w:rPr>
              <w:t>宋江明</w:t>
            </w:r>
          </w:p>
        </w:tc>
        <w:tc>
          <w:tcPr>
            <w:tcW w:w="3087" w:type="dxa"/>
            <w:vAlign w:val="center"/>
          </w:tcPr>
          <w:p w:rsidR="00473DDF" w:rsidRDefault="00473DDF" w:rsidP="00822204">
            <w:pPr>
              <w:pStyle w:val="PlainText"/>
              <w:spacing w:beforeLines="25" w:afterLines="25" w:line="300" w:lineRule="auto"/>
              <w:ind w:firstLineChars="200" w:firstLine="420"/>
              <w:jc w:val="center"/>
              <w:rPr>
                <w:rFonts w:ascii="Times New Roman" w:hAnsi="Times New Roman"/>
                <w:szCs w:val="21"/>
              </w:rPr>
            </w:pPr>
          </w:p>
          <w:p w:rsidR="00473DDF" w:rsidRDefault="00473DDF" w:rsidP="00822204">
            <w:pPr>
              <w:pStyle w:val="PlainText"/>
              <w:spacing w:beforeLines="25" w:afterLines="25" w:line="300" w:lineRule="auto"/>
              <w:ind w:firstLineChars="200" w:firstLine="420"/>
              <w:jc w:val="center"/>
              <w:rPr>
                <w:rFonts w:ascii="Times New Roman" w:hAnsi="Times New Roman"/>
                <w:szCs w:val="21"/>
              </w:rPr>
            </w:pPr>
          </w:p>
          <w:p w:rsidR="00473DDF" w:rsidRDefault="00473DDF" w:rsidP="00822204">
            <w:pPr>
              <w:pStyle w:val="PlainText"/>
              <w:spacing w:beforeLines="25" w:afterLines="25" w:line="300" w:lineRule="auto"/>
              <w:ind w:firstLineChars="200" w:firstLine="420"/>
              <w:jc w:val="center"/>
              <w:rPr>
                <w:rFonts w:ascii="Times New Roman" w:hAnsi="Times New Roman"/>
                <w:szCs w:val="21"/>
              </w:rPr>
            </w:pPr>
          </w:p>
          <w:p w:rsidR="00473DDF" w:rsidRDefault="00473DDF" w:rsidP="00822204">
            <w:pPr>
              <w:pStyle w:val="PlainText"/>
              <w:spacing w:beforeLines="25" w:afterLines="25" w:line="300" w:lineRule="auto"/>
              <w:ind w:firstLineChars="200" w:firstLine="420"/>
              <w:jc w:val="center"/>
              <w:rPr>
                <w:rFonts w:ascii="Times New Roman" w:hAnsi="Times New Roman"/>
                <w:szCs w:val="21"/>
              </w:rPr>
            </w:pPr>
          </w:p>
          <w:p w:rsidR="00473DDF" w:rsidRDefault="00473DDF" w:rsidP="00822204">
            <w:pPr>
              <w:pStyle w:val="PlainText"/>
              <w:spacing w:beforeLines="25" w:afterLines="25" w:line="300" w:lineRule="auto"/>
              <w:ind w:firstLineChars="200" w:firstLine="420"/>
              <w:jc w:val="center"/>
              <w:rPr>
                <w:rFonts w:ascii="Times New Roman" w:hAnsi="Times New Roman"/>
                <w:szCs w:val="21"/>
              </w:rPr>
            </w:pPr>
          </w:p>
        </w:tc>
        <w:tc>
          <w:tcPr>
            <w:tcW w:w="2252" w:type="dxa"/>
            <w:vAlign w:val="center"/>
          </w:tcPr>
          <w:p w:rsidR="00473DDF" w:rsidRDefault="00473DDF" w:rsidP="00822204">
            <w:pPr>
              <w:pStyle w:val="PlainText"/>
              <w:spacing w:beforeLines="25" w:afterLines="25" w:line="300" w:lineRule="auto"/>
              <w:ind w:firstLineChars="200" w:firstLine="420"/>
              <w:jc w:val="center"/>
              <w:rPr>
                <w:rFonts w:ascii="Times New Roman" w:hAnsi="Times New Roman"/>
                <w:szCs w:val="21"/>
              </w:rPr>
            </w:pPr>
          </w:p>
        </w:tc>
        <w:tc>
          <w:tcPr>
            <w:tcW w:w="1998" w:type="dxa"/>
            <w:vAlign w:val="center"/>
          </w:tcPr>
          <w:p w:rsidR="00473DDF" w:rsidRDefault="00473DDF" w:rsidP="00822204">
            <w:pPr>
              <w:pStyle w:val="PlainText"/>
              <w:spacing w:beforeLines="25" w:afterLines="25" w:line="300" w:lineRule="auto"/>
              <w:rPr>
                <w:rFonts w:ascii="Times New Roman" w:hAnsi="Times New Roman"/>
                <w:szCs w:val="21"/>
              </w:rPr>
            </w:pPr>
            <w:r>
              <w:rPr>
                <w:rFonts w:ascii="Times New Roman" w:hAnsi="Times New Roman"/>
                <w:szCs w:val="21"/>
              </w:rPr>
              <w:t xml:space="preserve"> 2020</w:t>
            </w:r>
            <w:r>
              <w:rPr>
                <w:rFonts w:ascii="Times New Roman" w:hAnsi="Times New Roman" w:hint="eastAsia"/>
                <w:szCs w:val="21"/>
              </w:rPr>
              <w:t>年</w:t>
            </w:r>
            <w:r>
              <w:rPr>
                <w:rFonts w:ascii="Times New Roman" w:hAnsi="Times New Roman"/>
                <w:szCs w:val="21"/>
              </w:rPr>
              <w:t>2</w:t>
            </w:r>
            <w:r>
              <w:rPr>
                <w:rFonts w:ascii="Times New Roman" w:hAnsi="Times New Roman" w:hint="eastAsia"/>
                <w:szCs w:val="21"/>
              </w:rPr>
              <w:t>月</w:t>
            </w:r>
            <w:r>
              <w:rPr>
                <w:rFonts w:ascii="Times New Roman" w:hAnsi="Times New Roman"/>
                <w:szCs w:val="21"/>
              </w:rPr>
              <w:t>13</w:t>
            </w:r>
            <w:r>
              <w:rPr>
                <w:rFonts w:ascii="Times New Roman" w:hAnsi="Times New Roman" w:hint="eastAsia"/>
                <w:szCs w:val="21"/>
              </w:rPr>
              <w:t>日</w:t>
            </w:r>
          </w:p>
        </w:tc>
      </w:tr>
      <w:tr w:rsidR="00473DDF">
        <w:trPr>
          <w:trHeight w:val="1706"/>
        </w:trPr>
        <w:tc>
          <w:tcPr>
            <w:tcW w:w="994" w:type="dxa"/>
            <w:tcBorders>
              <w:bottom w:val="single" w:sz="8" w:space="0" w:color="auto"/>
            </w:tcBorders>
            <w:vAlign w:val="center"/>
          </w:tcPr>
          <w:p w:rsidR="00473DDF" w:rsidRDefault="00473DDF" w:rsidP="00822204">
            <w:pPr>
              <w:pStyle w:val="PlainText"/>
              <w:spacing w:beforeLines="25" w:afterLines="25" w:line="300" w:lineRule="auto"/>
              <w:jc w:val="center"/>
              <w:rPr>
                <w:rFonts w:ascii="Times New Roman" w:hAnsi="Times New Roman"/>
                <w:szCs w:val="21"/>
              </w:rPr>
            </w:pPr>
            <w:r>
              <w:rPr>
                <w:rFonts w:ascii="Times New Roman" w:hAnsi="Times New Roman" w:hint="eastAsia"/>
                <w:szCs w:val="21"/>
              </w:rPr>
              <w:t>陈树君</w:t>
            </w:r>
          </w:p>
        </w:tc>
        <w:tc>
          <w:tcPr>
            <w:tcW w:w="3087" w:type="dxa"/>
            <w:tcBorders>
              <w:bottom w:val="single" w:sz="8" w:space="0" w:color="auto"/>
            </w:tcBorders>
            <w:vAlign w:val="center"/>
          </w:tcPr>
          <w:p w:rsidR="00473DDF" w:rsidRDefault="00473DDF" w:rsidP="00822204">
            <w:pPr>
              <w:pStyle w:val="PlainText"/>
              <w:spacing w:beforeLines="25" w:afterLines="25" w:line="300" w:lineRule="auto"/>
              <w:ind w:firstLineChars="200" w:firstLine="420"/>
              <w:jc w:val="center"/>
              <w:rPr>
                <w:rFonts w:ascii="Times New Roman" w:hAnsi="Times New Roman"/>
                <w:szCs w:val="21"/>
              </w:rPr>
            </w:pPr>
          </w:p>
          <w:p w:rsidR="00473DDF" w:rsidRDefault="00473DDF" w:rsidP="00822204">
            <w:pPr>
              <w:pStyle w:val="PlainText"/>
              <w:spacing w:beforeLines="25" w:afterLines="25" w:line="300" w:lineRule="auto"/>
              <w:ind w:firstLineChars="200" w:firstLine="420"/>
              <w:jc w:val="center"/>
              <w:rPr>
                <w:rFonts w:ascii="Times New Roman" w:hAnsi="Times New Roman"/>
                <w:szCs w:val="21"/>
              </w:rPr>
            </w:pPr>
          </w:p>
          <w:p w:rsidR="00473DDF" w:rsidRDefault="00473DDF" w:rsidP="00822204">
            <w:pPr>
              <w:pStyle w:val="PlainText"/>
              <w:spacing w:beforeLines="25" w:afterLines="25" w:line="300" w:lineRule="auto"/>
              <w:ind w:firstLineChars="200" w:firstLine="420"/>
              <w:jc w:val="center"/>
              <w:rPr>
                <w:rFonts w:ascii="Times New Roman" w:hAnsi="Times New Roman"/>
                <w:szCs w:val="21"/>
              </w:rPr>
            </w:pPr>
          </w:p>
          <w:p w:rsidR="00473DDF" w:rsidRDefault="00473DDF" w:rsidP="00822204">
            <w:pPr>
              <w:pStyle w:val="PlainText"/>
              <w:spacing w:beforeLines="25" w:afterLines="25" w:line="300" w:lineRule="auto"/>
              <w:ind w:firstLineChars="200" w:firstLine="420"/>
              <w:jc w:val="center"/>
              <w:rPr>
                <w:rFonts w:ascii="Times New Roman" w:hAnsi="Times New Roman"/>
                <w:szCs w:val="21"/>
              </w:rPr>
            </w:pPr>
          </w:p>
          <w:p w:rsidR="00473DDF" w:rsidRDefault="00473DDF" w:rsidP="00822204">
            <w:pPr>
              <w:pStyle w:val="PlainText"/>
              <w:spacing w:beforeLines="25" w:afterLines="25" w:line="300" w:lineRule="auto"/>
              <w:ind w:firstLineChars="200" w:firstLine="420"/>
              <w:jc w:val="center"/>
              <w:rPr>
                <w:rFonts w:ascii="Times New Roman" w:hAnsi="Times New Roman"/>
                <w:szCs w:val="21"/>
              </w:rPr>
            </w:pPr>
          </w:p>
        </w:tc>
        <w:tc>
          <w:tcPr>
            <w:tcW w:w="2252" w:type="dxa"/>
            <w:tcBorders>
              <w:bottom w:val="single" w:sz="8" w:space="0" w:color="auto"/>
            </w:tcBorders>
            <w:vAlign w:val="center"/>
          </w:tcPr>
          <w:p w:rsidR="00473DDF" w:rsidRDefault="00473DDF" w:rsidP="00822204">
            <w:pPr>
              <w:pStyle w:val="PlainText"/>
              <w:spacing w:beforeLines="25" w:afterLines="25" w:line="300" w:lineRule="auto"/>
              <w:ind w:firstLineChars="200" w:firstLine="420"/>
              <w:jc w:val="center"/>
              <w:rPr>
                <w:rFonts w:ascii="Times New Roman" w:hAnsi="Times New Roman"/>
                <w:szCs w:val="21"/>
              </w:rPr>
            </w:pPr>
          </w:p>
        </w:tc>
        <w:tc>
          <w:tcPr>
            <w:tcW w:w="1998" w:type="dxa"/>
            <w:tcBorders>
              <w:bottom w:val="single" w:sz="8" w:space="0" w:color="auto"/>
            </w:tcBorders>
            <w:vAlign w:val="center"/>
          </w:tcPr>
          <w:p w:rsidR="00473DDF" w:rsidRDefault="00473DDF" w:rsidP="00822204">
            <w:pPr>
              <w:pStyle w:val="PlainText"/>
              <w:spacing w:beforeLines="25" w:afterLines="25" w:line="300" w:lineRule="auto"/>
              <w:rPr>
                <w:rFonts w:ascii="Times New Roman" w:hAnsi="Times New Roman"/>
                <w:szCs w:val="21"/>
              </w:rPr>
            </w:pPr>
            <w:r>
              <w:rPr>
                <w:rFonts w:ascii="Times New Roman" w:hAnsi="Times New Roman"/>
                <w:szCs w:val="21"/>
              </w:rPr>
              <w:t xml:space="preserve"> 2020</w:t>
            </w:r>
            <w:r>
              <w:rPr>
                <w:rFonts w:ascii="Times New Roman" w:hAnsi="Times New Roman" w:hint="eastAsia"/>
                <w:szCs w:val="21"/>
              </w:rPr>
              <w:t>年</w:t>
            </w:r>
            <w:r>
              <w:rPr>
                <w:rFonts w:ascii="Times New Roman" w:hAnsi="Times New Roman"/>
                <w:szCs w:val="21"/>
              </w:rPr>
              <w:t>2</w:t>
            </w:r>
            <w:r>
              <w:rPr>
                <w:rFonts w:ascii="Times New Roman" w:hAnsi="Times New Roman" w:hint="eastAsia"/>
                <w:szCs w:val="21"/>
              </w:rPr>
              <w:t>月</w:t>
            </w:r>
            <w:r>
              <w:rPr>
                <w:rFonts w:ascii="Times New Roman" w:hAnsi="Times New Roman"/>
                <w:szCs w:val="21"/>
              </w:rPr>
              <w:t>13</w:t>
            </w:r>
            <w:r>
              <w:rPr>
                <w:rFonts w:ascii="Times New Roman" w:hAnsi="Times New Roman" w:hint="eastAsia"/>
                <w:szCs w:val="21"/>
              </w:rPr>
              <w:t>日</w:t>
            </w:r>
          </w:p>
        </w:tc>
      </w:tr>
    </w:tbl>
    <w:p w:rsidR="00473DDF" w:rsidRDefault="00473DDF">
      <w:pPr>
        <w:widowControl/>
        <w:rPr>
          <w:color w:val="000000"/>
          <w:kern w:val="0"/>
          <w:szCs w:val="21"/>
        </w:rPr>
      </w:pPr>
      <w:bookmarkStart w:id="14" w:name="_Toc8388"/>
    </w:p>
    <w:p w:rsidR="00473DDF" w:rsidRDefault="00473DDF" w:rsidP="00822204">
      <w:pPr>
        <w:pStyle w:val="Heading2"/>
        <w:spacing w:beforeLines="50" w:afterLines="50" w:line="360" w:lineRule="auto"/>
        <w:ind w:firstLineChars="200" w:firstLine="480"/>
        <w:rPr>
          <w:rFonts w:ascii="黑体"/>
          <w:b w:val="0"/>
          <w:sz w:val="24"/>
          <w:szCs w:val="24"/>
        </w:rPr>
      </w:pPr>
      <w:bookmarkStart w:id="15" w:name="_Toc32499192"/>
      <w:r>
        <w:rPr>
          <w:rFonts w:ascii="黑体" w:hAnsi="黑体" w:hint="eastAsia"/>
          <w:b w:val="0"/>
          <w:sz w:val="24"/>
          <w:szCs w:val="24"/>
        </w:rPr>
        <w:t>十二、实地查勘期</w:t>
      </w:r>
      <w:bookmarkEnd w:id="14"/>
      <w:bookmarkEnd w:id="15"/>
    </w:p>
    <w:p w:rsidR="00473DDF" w:rsidRDefault="00473DDF">
      <w:pPr>
        <w:spacing w:line="360" w:lineRule="auto"/>
        <w:ind w:firstLineChars="200" w:firstLine="480"/>
      </w:pPr>
      <w:r>
        <w:rPr>
          <w:sz w:val="24"/>
        </w:rPr>
        <w:t>2020</w:t>
      </w:r>
      <w:r>
        <w:rPr>
          <w:rFonts w:hint="eastAsia"/>
          <w:sz w:val="24"/>
        </w:rPr>
        <w:t>年</w:t>
      </w:r>
      <w:r>
        <w:rPr>
          <w:sz w:val="24"/>
        </w:rPr>
        <w:t>1</w:t>
      </w:r>
      <w:r>
        <w:rPr>
          <w:rFonts w:hint="eastAsia"/>
          <w:sz w:val="24"/>
        </w:rPr>
        <w:t>月</w:t>
      </w:r>
      <w:r>
        <w:rPr>
          <w:sz w:val="24"/>
        </w:rPr>
        <w:t>17</w:t>
      </w:r>
      <w:r>
        <w:rPr>
          <w:rFonts w:hint="eastAsia"/>
          <w:sz w:val="24"/>
        </w:rPr>
        <w:t>日</w:t>
      </w:r>
      <w:r>
        <w:rPr>
          <w:rFonts w:hAnsi="宋体" w:hint="eastAsia"/>
          <w:sz w:val="24"/>
        </w:rPr>
        <w:t>。</w:t>
      </w:r>
    </w:p>
    <w:p w:rsidR="00473DDF" w:rsidRDefault="00473DDF" w:rsidP="00822204">
      <w:pPr>
        <w:pStyle w:val="Heading2"/>
        <w:spacing w:beforeLines="50" w:afterLines="50" w:line="360" w:lineRule="auto"/>
        <w:ind w:firstLineChars="200" w:firstLine="480"/>
        <w:rPr>
          <w:rFonts w:ascii="Times New Roman" w:hAnsi="Times New Roman"/>
          <w:b w:val="0"/>
          <w:sz w:val="24"/>
          <w:szCs w:val="24"/>
        </w:rPr>
      </w:pPr>
      <w:bookmarkStart w:id="16" w:name="_Toc32499193"/>
      <w:r>
        <w:rPr>
          <w:rFonts w:ascii="Times New Roman" w:hAnsi="Times New Roman" w:hint="eastAsia"/>
          <w:b w:val="0"/>
          <w:sz w:val="24"/>
          <w:szCs w:val="24"/>
        </w:rPr>
        <w:t>十三、估价作业期</w:t>
      </w:r>
      <w:bookmarkEnd w:id="16"/>
    </w:p>
    <w:p w:rsidR="00473DDF" w:rsidRDefault="00473DDF" w:rsidP="00822204">
      <w:pPr>
        <w:pStyle w:val="PlainText"/>
        <w:spacing w:beforeLines="25" w:afterLines="25" w:line="360" w:lineRule="auto"/>
        <w:ind w:firstLineChars="200" w:firstLine="480"/>
        <w:rPr>
          <w:rFonts w:ascii="Times New Roman" w:hAnsi="Times New Roman"/>
          <w:sz w:val="24"/>
        </w:rPr>
      </w:pPr>
      <w:r>
        <w:rPr>
          <w:rFonts w:ascii="Times New Roman" w:hAnsi="Times New Roman"/>
          <w:sz w:val="24"/>
        </w:rPr>
        <w:t>2020</w:t>
      </w:r>
      <w:r>
        <w:rPr>
          <w:rFonts w:ascii="Times New Roman" w:hAnsi="Times New Roman" w:hint="eastAsia"/>
          <w:sz w:val="24"/>
        </w:rPr>
        <w:t>年</w:t>
      </w:r>
      <w:r>
        <w:rPr>
          <w:rFonts w:ascii="Times New Roman" w:hAnsi="Times New Roman"/>
          <w:sz w:val="24"/>
        </w:rPr>
        <w:t>1</w:t>
      </w:r>
      <w:r>
        <w:rPr>
          <w:rFonts w:ascii="Times New Roman" w:hAnsi="Times New Roman" w:hint="eastAsia"/>
          <w:sz w:val="24"/>
        </w:rPr>
        <w:t>月</w:t>
      </w:r>
      <w:r>
        <w:rPr>
          <w:rFonts w:ascii="Times New Roman" w:hAnsi="Times New Roman"/>
          <w:sz w:val="24"/>
        </w:rPr>
        <w:t>17</w:t>
      </w:r>
      <w:r>
        <w:rPr>
          <w:rFonts w:ascii="Times New Roman" w:hAnsi="Times New Roman" w:hint="eastAsia"/>
          <w:sz w:val="24"/>
        </w:rPr>
        <w:t>日至</w:t>
      </w:r>
      <w:r>
        <w:rPr>
          <w:rFonts w:ascii="Times New Roman" w:hAnsi="Times New Roman"/>
          <w:sz w:val="24"/>
        </w:rPr>
        <w:t>2020</w:t>
      </w:r>
      <w:r>
        <w:rPr>
          <w:rFonts w:ascii="Times New Roman" w:hAnsi="Times New Roman" w:hint="eastAsia"/>
          <w:sz w:val="24"/>
        </w:rPr>
        <w:t>年</w:t>
      </w:r>
      <w:r>
        <w:rPr>
          <w:rFonts w:ascii="Times New Roman" w:hAnsi="Times New Roman"/>
          <w:sz w:val="24"/>
        </w:rPr>
        <w:t>2</w:t>
      </w:r>
      <w:r>
        <w:rPr>
          <w:rFonts w:ascii="Times New Roman" w:hAnsi="Times New Roman" w:hint="eastAsia"/>
          <w:sz w:val="24"/>
        </w:rPr>
        <w:t>月</w:t>
      </w:r>
      <w:r>
        <w:rPr>
          <w:rFonts w:ascii="Times New Roman" w:hAnsi="Times New Roman"/>
          <w:sz w:val="24"/>
        </w:rPr>
        <w:t>13</w:t>
      </w:r>
      <w:r>
        <w:rPr>
          <w:rFonts w:ascii="Times New Roman" w:hAnsi="Times New Roman" w:hint="eastAsia"/>
          <w:sz w:val="24"/>
        </w:rPr>
        <w:t>日。</w:t>
      </w:r>
    </w:p>
    <w:p w:rsidR="00473DDF" w:rsidRDefault="00473DDF" w:rsidP="002952CC">
      <w:pPr>
        <w:pStyle w:val="Heading1"/>
        <w:spacing w:before="240" w:after="240" w:line="360" w:lineRule="auto"/>
        <w:jc w:val="center"/>
        <w:rPr>
          <w:rFonts w:eastAsia="黑体"/>
          <w:b w:val="0"/>
          <w:color w:val="000000"/>
          <w:sz w:val="36"/>
          <w:szCs w:val="36"/>
        </w:rPr>
      </w:pPr>
      <w:r>
        <w:rPr>
          <w:color w:val="000000"/>
        </w:rPr>
        <w:br w:type="page"/>
      </w:r>
    </w:p>
    <w:p w:rsidR="00473DDF" w:rsidRDefault="00473DDF">
      <w:pPr>
        <w:pStyle w:val="Heading1"/>
        <w:spacing w:before="240" w:after="240" w:line="240" w:lineRule="auto"/>
        <w:jc w:val="center"/>
        <w:rPr>
          <w:rFonts w:eastAsia="黑体"/>
          <w:b w:val="0"/>
          <w:color w:val="000000"/>
          <w:sz w:val="36"/>
          <w:szCs w:val="36"/>
        </w:rPr>
      </w:pPr>
    </w:p>
    <w:p w:rsidR="00473DDF" w:rsidRDefault="00473DDF">
      <w:pPr>
        <w:pStyle w:val="Heading1"/>
        <w:spacing w:before="240" w:after="240" w:line="240" w:lineRule="auto"/>
        <w:jc w:val="center"/>
        <w:rPr>
          <w:rFonts w:eastAsia="黑体"/>
          <w:b w:val="0"/>
          <w:color w:val="000000"/>
          <w:sz w:val="36"/>
          <w:szCs w:val="36"/>
        </w:rPr>
      </w:pPr>
      <w:bookmarkStart w:id="17" w:name="_Toc32499194"/>
      <w:r>
        <w:rPr>
          <w:rFonts w:eastAsia="黑体" w:hint="eastAsia"/>
          <w:b w:val="0"/>
          <w:color w:val="000000"/>
          <w:sz w:val="36"/>
          <w:szCs w:val="36"/>
        </w:rPr>
        <w:t>附</w:t>
      </w:r>
      <w:r>
        <w:rPr>
          <w:rFonts w:eastAsia="黑体"/>
          <w:b w:val="0"/>
          <w:color w:val="000000"/>
          <w:sz w:val="36"/>
          <w:szCs w:val="36"/>
        </w:rPr>
        <w:t xml:space="preserve">   </w:t>
      </w:r>
      <w:r>
        <w:rPr>
          <w:rFonts w:eastAsia="黑体" w:hint="eastAsia"/>
          <w:b w:val="0"/>
          <w:color w:val="000000"/>
          <w:sz w:val="36"/>
          <w:szCs w:val="36"/>
        </w:rPr>
        <w:t>件</w:t>
      </w:r>
      <w:bookmarkEnd w:id="17"/>
    </w:p>
    <w:p w:rsidR="00473DDF" w:rsidRDefault="00473DDF" w:rsidP="00822204">
      <w:pPr>
        <w:pStyle w:val="Heading2"/>
        <w:spacing w:beforeLines="50" w:afterLines="50" w:line="360" w:lineRule="auto"/>
        <w:ind w:firstLineChars="200" w:firstLine="480"/>
        <w:rPr>
          <w:rFonts w:ascii="Times New Roman" w:eastAsia="宋体" w:hAnsi="Times New Roman"/>
          <w:b w:val="0"/>
          <w:color w:val="000000"/>
          <w:sz w:val="24"/>
          <w:szCs w:val="24"/>
        </w:rPr>
      </w:pPr>
      <w:bookmarkStart w:id="18" w:name="_Toc317429381"/>
    </w:p>
    <w:p w:rsidR="00473DDF" w:rsidRDefault="00473DDF" w:rsidP="00822204">
      <w:pPr>
        <w:pStyle w:val="Heading2"/>
        <w:spacing w:beforeLines="50" w:afterLines="50" w:line="360" w:lineRule="auto"/>
        <w:ind w:firstLineChars="200" w:firstLine="480"/>
        <w:rPr>
          <w:rFonts w:ascii="Times New Roman" w:eastAsia="宋体" w:hAnsi="Times New Roman"/>
          <w:b w:val="0"/>
          <w:color w:val="000000"/>
          <w:sz w:val="24"/>
          <w:szCs w:val="24"/>
        </w:rPr>
      </w:pPr>
      <w:bookmarkStart w:id="19" w:name="_Toc32499195"/>
      <w:r>
        <w:rPr>
          <w:rFonts w:ascii="Times New Roman" w:eastAsia="宋体" w:hAnsi="Times New Roman" w:hint="eastAsia"/>
          <w:b w:val="0"/>
          <w:color w:val="000000"/>
          <w:sz w:val="24"/>
          <w:szCs w:val="24"/>
        </w:rPr>
        <w:t>一、《辽宁省丹东市中级人民法院委托书》复印件</w:t>
      </w:r>
      <w:bookmarkEnd w:id="19"/>
    </w:p>
    <w:p w:rsidR="00473DDF" w:rsidRDefault="00473DDF" w:rsidP="00822204">
      <w:pPr>
        <w:pStyle w:val="Heading2"/>
        <w:spacing w:beforeLines="50" w:afterLines="50" w:line="360" w:lineRule="auto"/>
        <w:ind w:firstLineChars="200" w:firstLine="480"/>
        <w:rPr>
          <w:rFonts w:ascii="Times New Roman" w:eastAsia="宋体" w:hAnsi="Times New Roman"/>
          <w:b w:val="0"/>
          <w:color w:val="000000"/>
          <w:sz w:val="24"/>
          <w:szCs w:val="24"/>
        </w:rPr>
      </w:pPr>
      <w:bookmarkStart w:id="20" w:name="_Toc317429382"/>
      <w:bookmarkStart w:id="21" w:name="_Toc32499196"/>
      <w:bookmarkEnd w:id="18"/>
      <w:r>
        <w:rPr>
          <w:rFonts w:ascii="Times New Roman" w:eastAsia="宋体" w:hAnsi="Times New Roman" w:hint="eastAsia"/>
          <w:b w:val="0"/>
          <w:color w:val="000000"/>
          <w:sz w:val="24"/>
          <w:szCs w:val="24"/>
        </w:rPr>
        <w:t>二、</w:t>
      </w:r>
      <w:bookmarkStart w:id="22" w:name="_Toc317429383"/>
      <w:bookmarkEnd w:id="20"/>
      <w:r>
        <w:rPr>
          <w:rFonts w:ascii="Times New Roman" w:eastAsia="宋体" w:hAnsi="Times New Roman" w:hint="eastAsia"/>
          <w:b w:val="0"/>
          <w:color w:val="000000"/>
          <w:sz w:val="24"/>
          <w:szCs w:val="24"/>
        </w:rPr>
        <w:t>估价对象位置示意图</w:t>
      </w:r>
      <w:bookmarkEnd w:id="21"/>
    </w:p>
    <w:p w:rsidR="00473DDF" w:rsidRDefault="00473DDF" w:rsidP="00822204">
      <w:pPr>
        <w:pStyle w:val="Heading2"/>
        <w:spacing w:beforeLines="50" w:afterLines="50" w:line="360" w:lineRule="auto"/>
        <w:ind w:firstLineChars="200" w:firstLine="480"/>
        <w:rPr>
          <w:rFonts w:ascii="Times New Roman" w:eastAsia="宋体" w:hAnsi="Times New Roman"/>
          <w:b w:val="0"/>
          <w:color w:val="FF0000"/>
          <w:sz w:val="24"/>
          <w:szCs w:val="24"/>
        </w:rPr>
      </w:pPr>
      <w:bookmarkStart w:id="23" w:name="_Toc32499197"/>
      <w:r>
        <w:rPr>
          <w:rFonts w:ascii="Times New Roman" w:eastAsia="宋体" w:hAnsi="Times New Roman" w:hint="eastAsia"/>
          <w:b w:val="0"/>
          <w:color w:val="000000"/>
          <w:sz w:val="24"/>
          <w:szCs w:val="24"/>
        </w:rPr>
        <w:t>三、</w:t>
      </w:r>
      <w:bookmarkEnd w:id="22"/>
      <w:r>
        <w:rPr>
          <w:rFonts w:ascii="Times New Roman" w:eastAsia="宋体" w:hAnsi="Times New Roman" w:hint="eastAsia"/>
          <w:b w:val="0"/>
          <w:color w:val="000000"/>
          <w:sz w:val="24"/>
          <w:szCs w:val="24"/>
        </w:rPr>
        <w:t>估价对象内外部状况、小区环境和道路的照片</w:t>
      </w:r>
      <w:bookmarkEnd w:id="23"/>
    </w:p>
    <w:p w:rsidR="00473DDF" w:rsidRDefault="00473DDF" w:rsidP="00822204">
      <w:pPr>
        <w:pStyle w:val="Heading2"/>
        <w:spacing w:beforeLines="50" w:afterLines="50" w:line="360" w:lineRule="auto"/>
        <w:ind w:firstLineChars="200" w:firstLine="480"/>
        <w:rPr>
          <w:rFonts w:ascii="Times New Roman" w:eastAsia="宋体" w:hAnsi="Times New Roman"/>
          <w:b w:val="0"/>
          <w:color w:val="000000"/>
          <w:sz w:val="24"/>
          <w:szCs w:val="24"/>
        </w:rPr>
      </w:pPr>
      <w:bookmarkStart w:id="24" w:name="_Toc32499198"/>
      <w:r>
        <w:rPr>
          <w:rFonts w:ascii="Times New Roman" w:eastAsia="宋体" w:hAnsi="Times New Roman" w:hint="eastAsia"/>
          <w:b w:val="0"/>
          <w:color w:val="000000"/>
          <w:sz w:val="24"/>
          <w:szCs w:val="24"/>
        </w:rPr>
        <w:t>四、估价对象</w:t>
      </w:r>
      <w:bookmarkStart w:id="25" w:name="_Toc317429384"/>
      <w:r>
        <w:rPr>
          <w:rFonts w:ascii="Times New Roman" w:eastAsia="宋体" w:hAnsi="Times New Roman" w:hint="eastAsia"/>
          <w:b w:val="0"/>
          <w:sz w:val="24"/>
          <w:szCs w:val="24"/>
        </w:rPr>
        <w:t>《房屋所有权证》复印件</w:t>
      </w:r>
      <w:bookmarkEnd w:id="24"/>
    </w:p>
    <w:p w:rsidR="00473DDF" w:rsidRDefault="00473DDF" w:rsidP="00822204">
      <w:pPr>
        <w:pStyle w:val="Heading2"/>
        <w:spacing w:beforeLines="50" w:afterLines="50" w:line="360" w:lineRule="auto"/>
        <w:ind w:firstLineChars="200" w:firstLine="480"/>
        <w:rPr>
          <w:rFonts w:ascii="Times New Roman" w:eastAsia="宋体" w:hAnsi="Times New Roman"/>
          <w:b w:val="0"/>
          <w:color w:val="000000"/>
          <w:sz w:val="24"/>
          <w:szCs w:val="24"/>
        </w:rPr>
      </w:pPr>
      <w:bookmarkStart w:id="26" w:name="_Toc32499199"/>
      <w:bookmarkStart w:id="27" w:name="_Toc29935"/>
      <w:bookmarkEnd w:id="25"/>
      <w:r>
        <w:rPr>
          <w:rFonts w:ascii="Times New Roman" w:eastAsia="宋体" w:hAnsi="Times New Roman" w:hint="eastAsia"/>
          <w:b w:val="0"/>
          <w:color w:val="000000"/>
          <w:sz w:val="24"/>
          <w:szCs w:val="24"/>
        </w:rPr>
        <w:t>五、</w:t>
      </w:r>
      <w:bookmarkStart w:id="28" w:name="_Toc317429386"/>
      <w:r>
        <w:rPr>
          <w:rFonts w:ascii="Times New Roman" w:eastAsia="宋体" w:hAnsi="Times New Roman" w:hint="eastAsia"/>
          <w:b w:val="0"/>
          <w:color w:val="000000"/>
          <w:sz w:val="24"/>
          <w:szCs w:val="24"/>
        </w:rPr>
        <w:t>估价对象</w:t>
      </w:r>
      <w:r>
        <w:rPr>
          <w:rFonts w:ascii="Times New Roman" w:eastAsia="宋体" w:hAnsi="Times New Roman" w:hint="eastAsia"/>
          <w:b w:val="0"/>
          <w:sz w:val="24"/>
          <w:szCs w:val="24"/>
        </w:rPr>
        <w:t>《他项权利证》复印件</w:t>
      </w:r>
      <w:bookmarkEnd w:id="26"/>
    </w:p>
    <w:p w:rsidR="00473DDF" w:rsidRDefault="00473DDF" w:rsidP="00822204">
      <w:pPr>
        <w:pStyle w:val="Heading2"/>
        <w:spacing w:beforeLines="50" w:afterLines="50" w:line="360" w:lineRule="auto"/>
        <w:ind w:firstLineChars="200" w:firstLine="480"/>
        <w:rPr>
          <w:rFonts w:ascii="Times New Roman" w:eastAsia="宋体" w:hAnsi="Times New Roman"/>
          <w:b w:val="0"/>
          <w:color w:val="000000"/>
          <w:sz w:val="24"/>
          <w:szCs w:val="24"/>
        </w:rPr>
      </w:pPr>
      <w:bookmarkStart w:id="29" w:name="_Toc32499200"/>
      <w:r>
        <w:rPr>
          <w:rFonts w:ascii="Times New Roman" w:eastAsia="宋体" w:hAnsi="Times New Roman" w:hint="eastAsia"/>
          <w:b w:val="0"/>
          <w:color w:val="000000"/>
          <w:sz w:val="24"/>
          <w:szCs w:val="24"/>
        </w:rPr>
        <w:t>六、《房地产估价机构资质证书》复印件</w:t>
      </w:r>
      <w:bookmarkEnd w:id="27"/>
      <w:bookmarkEnd w:id="29"/>
    </w:p>
    <w:p w:rsidR="00473DDF" w:rsidRDefault="00473DDF" w:rsidP="00822204">
      <w:pPr>
        <w:pStyle w:val="Heading2"/>
        <w:spacing w:beforeLines="50" w:afterLines="50" w:line="360" w:lineRule="auto"/>
        <w:ind w:firstLineChars="200" w:firstLine="480"/>
        <w:rPr>
          <w:rFonts w:ascii="Times New Roman" w:eastAsia="宋体" w:hAnsi="Times New Roman"/>
          <w:b w:val="0"/>
          <w:color w:val="000000"/>
          <w:sz w:val="24"/>
          <w:szCs w:val="24"/>
        </w:rPr>
      </w:pPr>
      <w:bookmarkStart w:id="30" w:name="_Toc14403"/>
      <w:bookmarkStart w:id="31" w:name="_Toc32499201"/>
      <w:bookmarkStart w:id="32" w:name="_Toc317429388"/>
      <w:bookmarkEnd w:id="28"/>
      <w:r>
        <w:rPr>
          <w:rFonts w:ascii="Times New Roman" w:eastAsia="宋体" w:hAnsi="Times New Roman" w:hint="eastAsia"/>
          <w:b w:val="0"/>
          <w:color w:val="000000"/>
          <w:sz w:val="24"/>
          <w:szCs w:val="24"/>
        </w:rPr>
        <w:t>七、房地产估价机构《营业执照（副本）》复印件</w:t>
      </w:r>
      <w:bookmarkEnd w:id="30"/>
      <w:bookmarkEnd w:id="31"/>
    </w:p>
    <w:p w:rsidR="00473DDF" w:rsidRDefault="00473DDF" w:rsidP="00822204">
      <w:pPr>
        <w:pStyle w:val="Heading2"/>
        <w:spacing w:beforeLines="50" w:afterLines="50" w:line="360" w:lineRule="auto"/>
        <w:ind w:firstLineChars="200" w:firstLine="480"/>
        <w:rPr>
          <w:rFonts w:ascii="Times New Roman" w:eastAsia="宋体" w:hAnsi="Times New Roman"/>
          <w:b w:val="0"/>
          <w:color w:val="000000"/>
          <w:sz w:val="24"/>
          <w:szCs w:val="24"/>
        </w:rPr>
      </w:pPr>
      <w:bookmarkStart w:id="33" w:name="_Toc24816"/>
      <w:bookmarkStart w:id="34" w:name="_Toc32499202"/>
      <w:bookmarkEnd w:id="32"/>
      <w:r>
        <w:rPr>
          <w:rFonts w:ascii="Times New Roman" w:eastAsia="宋体" w:hAnsi="Times New Roman" w:hint="eastAsia"/>
          <w:b w:val="0"/>
          <w:color w:val="000000"/>
          <w:sz w:val="24"/>
          <w:szCs w:val="24"/>
        </w:rPr>
        <w:t>八、《房地产估价师注册证书》复印件</w:t>
      </w:r>
      <w:bookmarkEnd w:id="33"/>
      <w:bookmarkEnd w:id="34"/>
    </w:p>
    <w:p w:rsidR="00473DDF" w:rsidRDefault="00473DDF"/>
    <w:p w:rsidR="00473DDF" w:rsidRDefault="00473DDF"/>
    <w:p w:rsidR="00473DDF" w:rsidRDefault="00473DDF"/>
    <w:p w:rsidR="00473DDF" w:rsidRDefault="00473DDF"/>
    <w:p w:rsidR="00473DDF" w:rsidRDefault="00473DDF"/>
    <w:p w:rsidR="00473DDF" w:rsidRDefault="00473DDF"/>
    <w:p w:rsidR="00473DDF" w:rsidRDefault="00473DDF"/>
    <w:p w:rsidR="00473DDF" w:rsidRDefault="00473DDF"/>
    <w:sectPr w:rsidR="00473DDF">
      <w:head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DDF" w:rsidRDefault="00473DDF">
      <w:r>
        <w:separator/>
      </w:r>
    </w:p>
  </w:endnote>
  <w:endnote w:type="continuationSeparator" w:id="0">
    <w:p w:rsidR="00473DDF" w:rsidRDefault="00473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space">
    <w:altName w:val="??_GB2312"/>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幼圆">
    <w:altName w:val="微软雅黑"/>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DF" w:rsidRDefault="00473D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DF" w:rsidRDefault="00473D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DF" w:rsidRDefault="00473DD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DF" w:rsidRDefault="00473DDF">
    <w:pPr>
      <w:pStyle w:val="Footer"/>
      <w:ind w:right="360"/>
      <w:rPr>
        <w:rFonts w:eastAsia="幼圆"/>
      </w:rPr>
    </w:pPr>
    <w:r>
      <w:rPr>
        <w:rFonts w:ascii="幼圆" w:eastAsia="幼圆" w:hAnsi="宋体" w:hint="eastAsia"/>
      </w:rPr>
      <w:t>地址：沈阳市沈河区沈州路</w:t>
    </w:r>
    <w:r>
      <w:rPr>
        <w:rFonts w:ascii="幼圆" w:eastAsia="幼圆" w:hAnsi="宋体"/>
      </w:rPr>
      <w:t>99</w:t>
    </w:r>
    <w:r>
      <w:rPr>
        <w:rFonts w:ascii="幼圆" w:eastAsia="幼圆" w:hAnsi="宋体" w:hint="eastAsia"/>
      </w:rPr>
      <w:t>号太和大厦</w:t>
    </w:r>
    <w:r>
      <w:rPr>
        <w:rFonts w:ascii="幼圆" w:eastAsia="幼圆" w:hAnsi="宋体"/>
      </w:rPr>
      <w:t>A</w:t>
    </w:r>
    <w:r>
      <w:rPr>
        <w:rFonts w:ascii="幼圆" w:eastAsia="幼圆" w:hAnsi="宋体" w:hint="eastAsia"/>
      </w:rPr>
      <w:t>座</w:t>
    </w:r>
    <w:r>
      <w:rPr>
        <w:rFonts w:ascii="幼圆" w:eastAsia="幼圆" w:hAnsi="宋体"/>
      </w:rPr>
      <w:t>1202</w:t>
    </w:r>
    <w:r>
      <w:rPr>
        <w:rFonts w:ascii="幼圆" w:eastAsia="幼圆" w:hAnsi="宋体" w:hint="eastAsia"/>
      </w:rPr>
      <w:t>室</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DF" w:rsidRDefault="00473DDF">
    <w:pPr>
      <w:pStyle w:val="Footer"/>
      <w:ind w:right="360"/>
      <w:rPr>
        <w:rFonts w:eastAsia="幼圆"/>
      </w:rPr>
    </w:pPr>
    <w:r>
      <w:rPr>
        <w:noProof/>
      </w:rPr>
      <w:pict>
        <v:shapetype id="_x0000_t202" coordsize="21600,21600" o:spt="202" path="m,l,21600r21600,l21600,xe">
          <v:stroke joinstyle="miter"/>
          <v:path gradientshapeok="t" o:connecttype="rect"/>
        </v:shapetype>
        <v:shape id="文本框13" o:spid="_x0000_s2053" type="#_x0000_t202" style="position:absolute;margin-left:-28.2pt;margin-top:0;width:30.6pt;height:31.15pt;z-index:251661312;mso-wrap-style:none;mso-position-horizontal:right;mso-position-horizontal-relative:margin;mso-position-vertical:top" filled="f" stroked="f">
          <v:textbox style="mso-next-textbox:#文本框13;mso-fit-shape-to-text:t" inset="0,0,0,0">
            <w:txbxContent>
              <w:p w:rsidR="00473DDF" w:rsidRDefault="00473DDF">
                <w:pPr>
                  <w:pStyle w:val="Footer"/>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r>
                  <w:rPr>
                    <w:rStyle w:val="PageNumber"/>
                  </w:rPr>
                  <w:t>—</w:t>
                </w:r>
              </w:p>
            </w:txbxContent>
          </v:textbox>
          <w10:wrap anchorx="margin"/>
        </v:shape>
      </w:pict>
    </w:r>
    <w:r>
      <w:rPr>
        <w:rFonts w:ascii="幼圆" w:eastAsia="幼圆" w:hAnsi="宋体" w:hint="eastAsia"/>
      </w:rPr>
      <w:t>地址：沈阳市沈河区沈州路</w:t>
    </w:r>
    <w:r>
      <w:rPr>
        <w:rFonts w:ascii="幼圆" w:eastAsia="幼圆" w:hAnsi="宋体"/>
      </w:rPr>
      <w:t>99</w:t>
    </w:r>
    <w:r>
      <w:rPr>
        <w:rFonts w:ascii="幼圆" w:eastAsia="幼圆" w:hAnsi="宋体" w:hint="eastAsia"/>
      </w:rPr>
      <w:t>号太和大厦</w:t>
    </w:r>
    <w:r>
      <w:rPr>
        <w:rFonts w:ascii="幼圆" w:eastAsia="幼圆" w:hAnsi="宋体"/>
      </w:rPr>
      <w:t>A</w:t>
    </w:r>
    <w:r>
      <w:rPr>
        <w:rFonts w:ascii="幼圆" w:eastAsia="幼圆" w:hAnsi="宋体" w:hint="eastAsia"/>
      </w:rPr>
      <w:t>座</w:t>
    </w:r>
    <w:r>
      <w:rPr>
        <w:rFonts w:ascii="幼圆" w:eastAsia="幼圆" w:hAnsi="宋体"/>
      </w:rPr>
      <w:t>1202</w:t>
    </w:r>
    <w:r>
      <w:rPr>
        <w:rFonts w:ascii="幼圆" w:eastAsia="幼圆" w:hAnsi="宋体" w:hint="eastAsia"/>
      </w:rPr>
      <w:t>室</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DF" w:rsidRDefault="00473DDF">
    <w:pPr>
      <w:pStyle w:val="Footer"/>
      <w:ind w:right="360"/>
      <w:rPr>
        <w:rFonts w:eastAsia="幼圆"/>
      </w:rPr>
    </w:pPr>
    <w:r>
      <w:rPr>
        <w:noProof/>
      </w:rPr>
      <w:pict>
        <v:shapetype id="_x0000_t202" coordsize="21600,21600" o:spt="202" path="m,l,21600r21600,l21600,xe">
          <v:stroke joinstyle="miter"/>
          <v:path gradientshapeok="t" o:connecttype="rect"/>
        </v:shapetype>
        <v:shape id="文本框28" o:spid="_x0000_s2055" type="#_x0000_t202" style="position:absolute;margin-left:-50.1pt;margin-top:0;width:23.3pt;height:12.4pt;z-index:251660288;mso-wrap-style:none;mso-position-horizontal:right;mso-position-horizontal-relative:margin" filled="f" stroked="f">
          <v:textbox style="mso-next-textbox:#文本框28;mso-fit-shape-to-text:t" inset="0,0,0,0">
            <w:txbxContent>
              <w:p w:rsidR="00473DDF" w:rsidRDefault="00473DDF">
                <w:pPr>
                  <w:snapToGrid w:val="0"/>
                  <w:rPr>
                    <w:sz w:val="18"/>
                  </w:rPr>
                </w:pPr>
                <w:r>
                  <w:t>—</w:t>
                </w:r>
                <w:r>
                  <w:rPr>
                    <w:sz w:val="18"/>
                  </w:rPr>
                  <w:fldChar w:fldCharType="begin"/>
                </w:r>
                <w:r>
                  <w:rPr>
                    <w:sz w:val="18"/>
                  </w:rPr>
                  <w:instrText xml:space="preserve"> PAGE  \* MERGEFORMAT </w:instrText>
                </w:r>
                <w:r>
                  <w:rPr>
                    <w:sz w:val="18"/>
                  </w:rPr>
                  <w:fldChar w:fldCharType="separate"/>
                </w:r>
                <w:r w:rsidRPr="00822204">
                  <w:rPr>
                    <w:noProof/>
                  </w:rPr>
                  <w:t>13</w:t>
                </w:r>
                <w:r>
                  <w:rPr>
                    <w:sz w:val="18"/>
                  </w:rPr>
                  <w:fldChar w:fldCharType="end"/>
                </w:r>
                <w:r>
                  <w:rPr>
                    <w:sz w:val="18"/>
                  </w:rPr>
                  <w:t>—</w:t>
                </w:r>
              </w:p>
            </w:txbxContent>
          </v:textbox>
          <w10:wrap anchorx="margin"/>
        </v:shape>
      </w:pict>
    </w:r>
    <w:r>
      <w:rPr>
        <w:rFonts w:ascii="幼圆" w:eastAsia="幼圆" w:hAnsi="宋体" w:hint="eastAsia"/>
      </w:rPr>
      <w:t>地址：沈阳市沈河区沈州路</w:t>
    </w:r>
    <w:r>
      <w:rPr>
        <w:rFonts w:ascii="幼圆" w:eastAsia="幼圆" w:hAnsi="宋体"/>
      </w:rPr>
      <w:t>99</w:t>
    </w:r>
    <w:r>
      <w:rPr>
        <w:rFonts w:ascii="幼圆" w:eastAsia="幼圆" w:hAnsi="宋体" w:hint="eastAsia"/>
      </w:rPr>
      <w:t>号太和大厦</w:t>
    </w:r>
    <w:r>
      <w:rPr>
        <w:rFonts w:ascii="幼圆" w:eastAsia="幼圆" w:hAnsi="宋体"/>
      </w:rPr>
      <w:t>A</w:t>
    </w:r>
    <w:r>
      <w:rPr>
        <w:rFonts w:ascii="幼圆" w:eastAsia="幼圆" w:hAnsi="宋体" w:hint="eastAsia"/>
      </w:rPr>
      <w:t>座</w:t>
    </w:r>
    <w:r>
      <w:rPr>
        <w:rFonts w:ascii="幼圆" w:eastAsia="幼圆" w:hAnsi="宋体"/>
      </w:rPr>
      <w:t>1202</w:t>
    </w:r>
    <w:r>
      <w:rPr>
        <w:rFonts w:ascii="幼圆" w:eastAsia="幼圆" w:hAnsi="宋体" w:hint="eastAsia"/>
      </w:rPr>
      <w:t>室</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DDF" w:rsidRDefault="00473DDF">
      <w:r>
        <w:separator/>
      </w:r>
    </w:p>
  </w:footnote>
  <w:footnote w:type="continuationSeparator" w:id="0">
    <w:p w:rsidR="00473DDF" w:rsidRDefault="00473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DF" w:rsidRDefault="00473D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DF" w:rsidRDefault="00473DDF" w:rsidP="00822204">
    <w:pPr>
      <w:pStyle w:val="Header"/>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2.5pt;margin-top:-82.9pt;width:596.15pt;height:808.8pt;z-index:-251660288;mso-position-horizontal-relative:margin;mso-position-vertical-relative:margin">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DF" w:rsidRDefault="00473DD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DF" w:rsidRDefault="00473D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1.75pt;margin-top:-55.4pt;width:596.15pt;height:808.8pt;z-index:-251657216;mso-position-horizontal-relative:margin;mso-position-vertical-relative:margin">
          <v:imagedata r:id="rId1" o:title=""/>
          <w10:wrap anchorx="margin" anchory="margin"/>
        </v:shape>
      </w:pict>
    </w:r>
    <w:r>
      <w:rPr>
        <w:rFonts w:hint="eastAsia"/>
      </w:rPr>
      <w:t>房信评估（</w:t>
    </w:r>
    <w:r>
      <w:t>024—22959997</w:t>
    </w:r>
    <w:r>
      <w:rPr>
        <w:rFonts w:hint="eastAsia"/>
      </w:rPr>
      <w:t>）</w:t>
    </w:r>
    <w:r>
      <w:t xml:space="preserve">                                                               </w:t>
    </w:r>
    <w:r w:rsidRPr="008C4628">
      <w:rPr>
        <w:noProof/>
      </w:rPr>
      <w:pict>
        <v:shape id="图片 46" o:spid="_x0000_i1026" type="#_x0000_t75" alt="logo透明背景" style="width:19.5pt;height:15.75pt;visibility:visible">
          <v:imagedata r:id="rId2" o:title=""/>
        </v:shape>
      </w:pict>
    </w:r>
  </w:p>
  <w:p w:rsidR="00473DDF" w:rsidRDefault="00473DDF">
    <w:pPr>
      <w:pStyle w:val="Header"/>
      <w:pBdr>
        <w:bottom w:val="none" w:sz="0" w:space="0" w:color="auto"/>
      </w:pBdr>
    </w:pPr>
    <w:r>
      <w:rPr>
        <w:noProof/>
      </w:rPr>
      <w:pict>
        <v:shape id="_x0000_s2051" type="#_x0000_t75" style="position:absolute;left:0;text-align:left;margin-left:-92.5pt;margin-top:-82.9pt;width:596.15pt;height:808.8pt;z-index:-251658240;mso-position-horizontal-relative:margin;mso-position-vertical-relative:margin">
          <v:imagedata r:id="rId1" o:tit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DF" w:rsidRDefault="00473D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91.75pt;margin-top:-55.4pt;width:596.15pt;height:808.8pt;z-index:-251659264;mso-position-horizontal-relative:margin;mso-position-vertical-relative:margin">
          <v:imagedata r:id="rId1" o:title=""/>
          <w10:wrap anchorx="margin" anchory="margin"/>
        </v:shape>
      </w:pict>
    </w:r>
    <w:r>
      <w:rPr>
        <w:rFonts w:hint="eastAsia"/>
      </w:rPr>
      <w:t>房信评估（</w:t>
    </w:r>
    <w:r>
      <w:t>024—22959997</w:t>
    </w:r>
    <w:r>
      <w:rPr>
        <w:rFonts w:hint="eastAsia"/>
      </w:rPr>
      <w:t>）</w:t>
    </w:r>
    <w:r>
      <w:t xml:space="preserve">                                                               </w:t>
    </w:r>
    <w:r w:rsidRPr="008C4628">
      <w:rPr>
        <w:noProof/>
      </w:rPr>
      <w:pict>
        <v:shape id="_x0000_i1028" type="#_x0000_t75" alt="logo透明背景" style="width:19.5pt;height:15.75pt;visibility:visible">
          <v:imagedata r:id="rId2" o:titl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DF" w:rsidRDefault="00473DDF">
    <w:pPr>
      <w:pStyle w:val="Header"/>
    </w:pPr>
    <w:r>
      <w:rPr>
        <w:rFonts w:hint="eastAsia"/>
      </w:rPr>
      <w:t>房信评估（</w:t>
    </w:r>
    <w:r>
      <w:t>024—22959997</w:t>
    </w:r>
    <w:r>
      <w:rPr>
        <w:rFonts w:hint="eastAsia"/>
      </w:rPr>
      <w:t>）</w:t>
    </w:r>
    <w:r>
      <w:t xml:space="preserve">                                                                                                                           </w:t>
    </w:r>
    <w:r w:rsidRPr="008C46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30" type="#_x0000_t75" alt="logo透明背景" style="width:19.5pt;height:15.75pt;visibility:visible">
          <v:imagedata r:id="rId1" o:title=""/>
        </v:shape>
      </w:pict>
    </w:r>
    <w:r>
      <w:rPr>
        <w:noProof/>
      </w:rPr>
      <w:pict>
        <v:shape id="_x0000_s2054" type="#_x0000_t75" style="position:absolute;left:0;text-align:left;margin-left:-90.25pt;margin-top:-56.15pt;width:596.15pt;height:808.8pt;z-index:-251661312;mso-position-horizontal-relative:margin;mso-position-vertical-relative:margin">
          <v:imagedata r:id="rId2" o:tit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DF" w:rsidRDefault="00473DDF">
    <w:pPr>
      <w:pStyle w:val="Header"/>
    </w:pPr>
    <w:r>
      <w:rPr>
        <w:rFonts w:hint="eastAsia"/>
      </w:rPr>
      <w:t>房信评估（</w:t>
    </w:r>
    <w:r>
      <w:t>024—22959997</w:t>
    </w:r>
    <w:r>
      <w:rPr>
        <w:rFonts w:hint="eastAsia"/>
      </w:rPr>
      <w:t>）</w:t>
    </w:r>
    <w:r>
      <w:t xml:space="preserve">                                                               </w:t>
    </w:r>
    <w:r w:rsidRPr="008C46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i1032" type="#_x0000_t75" alt="logo透明背景" style="width:19.5pt;height:15.75pt;visibility:visible">
          <v:imagedata r:id="rId1" o:title=""/>
        </v:shape>
      </w:pict>
    </w:r>
    <w:r>
      <w:rPr>
        <w:noProof/>
      </w:rPr>
      <w:pict>
        <v:shape id="WordPictureWatermark9" o:spid="_x0000_s2056" type="#_x0000_t75" style="position:absolute;left:0;text-align:left;margin-left:-90.25pt;margin-top:-56.15pt;width:596.15pt;height:808.8pt;z-index:-251662336;mso-position-horizontal-relative:margin;mso-position-vertical-relative:margin">
          <v:imagedata r:id="rId2"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C5C12D"/>
    <w:multiLevelType w:val="singleLevel"/>
    <w:tmpl w:val="91C5C12D"/>
    <w:lvl w:ilvl="0">
      <w:start w:val="2"/>
      <w:numFmt w:val="decimal"/>
      <w:suff w:val="nothing"/>
      <w:lvlText w:val="%1、"/>
      <w:lvlJc w:val="left"/>
      <w:rPr>
        <w:rFonts w:cs="Times New Roman"/>
      </w:rPr>
    </w:lvl>
  </w:abstractNum>
  <w:abstractNum w:abstractNumId="1">
    <w:nsid w:val="2098C857"/>
    <w:multiLevelType w:val="singleLevel"/>
    <w:tmpl w:val="2098C857"/>
    <w:lvl w:ilvl="0">
      <w:start w:val="4"/>
      <w:numFmt w:val="decimal"/>
      <w:suff w:val="nothing"/>
      <w:lvlText w:val="%1、"/>
      <w:lvlJc w:val="left"/>
      <w:rPr>
        <w:rFonts w:cs="Times New Roman"/>
      </w:rPr>
    </w:lvl>
  </w:abstractNum>
  <w:abstractNum w:abstractNumId="2">
    <w:nsid w:val="53CE1039"/>
    <w:multiLevelType w:val="singleLevel"/>
    <w:tmpl w:val="53CE1039"/>
    <w:lvl w:ilvl="0">
      <w:start w:val="1"/>
      <w:numFmt w:val="chineseCounting"/>
      <w:suff w:val="nothing"/>
      <w:lvlText w:val="（%1）"/>
      <w:lvlJc w:val="left"/>
      <w:rPr>
        <w:rFonts w:cs="Times New Roman"/>
      </w:rPr>
    </w:lvl>
  </w:abstractNum>
  <w:abstractNum w:abstractNumId="3">
    <w:nsid w:val="54041F69"/>
    <w:multiLevelType w:val="singleLevel"/>
    <w:tmpl w:val="54041F69"/>
    <w:lvl w:ilvl="0">
      <w:start w:val="1"/>
      <w:numFmt w:val="decimal"/>
      <w:suff w:val="nothing"/>
      <w:lvlText w:val="%1、"/>
      <w:lvlJc w:val="left"/>
      <w:rPr>
        <w:rFonts w:cs="Times New Roman"/>
      </w:rPr>
    </w:lvl>
  </w:abstractNum>
  <w:abstractNum w:abstractNumId="4">
    <w:nsid w:val="5449E241"/>
    <w:multiLevelType w:val="singleLevel"/>
    <w:tmpl w:val="5449E241"/>
    <w:lvl w:ilvl="0">
      <w:start w:val="2"/>
      <w:numFmt w:val="chineseCounting"/>
      <w:suff w:val="nothing"/>
      <w:lvlText w:val="（%1）"/>
      <w:lvlJc w:val="left"/>
      <w:rPr>
        <w:rFonts w:cs="Times New Roman"/>
      </w:rPr>
    </w:lvl>
  </w:abstractNum>
  <w:abstractNum w:abstractNumId="5">
    <w:nsid w:val="544DEA19"/>
    <w:multiLevelType w:val="singleLevel"/>
    <w:tmpl w:val="544DEA19"/>
    <w:lvl w:ilvl="0">
      <w:start w:val="1"/>
      <w:numFmt w:val="decimal"/>
      <w:suff w:val="nothing"/>
      <w:lvlText w:val="%1、"/>
      <w:lvlJc w:val="left"/>
      <w:rPr>
        <w:rFonts w:cs="Times New Roman"/>
      </w:rPr>
    </w:lvl>
  </w:abstractNum>
  <w:abstractNum w:abstractNumId="6">
    <w:nsid w:val="54AE419E"/>
    <w:multiLevelType w:val="singleLevel"/>
    <w:tmpl w:val="54AE419E"/>
    <w:lvl w:ilvl="0">
      <w:start w:val="5"/>
      <w:numFmt w:val="chineseCounting"/>
      <w:suff w:val="nothing"/>
      <w:lvlText w:val="（%1）"/>
      <w:lvlJc w:val="left"/>
      <w:rPr>
        <w:rFonts w:cs="Times New Roman"/>
      </w:rPr>
    </w:lvl>
  </w:abstractNum>
  <w:abstractNum w:abstractNumId="7">
    <w:nsid w:val="550A9490"/>
    <w:multiLevelType w:val="singleLevel"/>
    <w:tmpl w:val="550A9490"/>
    <w:lvl w:ilvl="0">
      <w:start w:val="1"/>
      <w:numFmt w:val="decimal"/>
      <w:suff w:val="nothing"/>
      <w:lvlText w:val="（%1）"/>
      <w:lvlJc w:val="left"/>
      <w:rPr>
        <w:rFonts w:cs="Times New Roman"/>
      </w:rPr>
    </w:lvl>
  </w:abstractNum>
  <w:abstractNum w:abstractNumId="8">
    <w:nsid w:val="554B0B0A"/>
    <w:multiLevelType w:val="singleLevel"/>
    <w:tmpl w:val="554B0B0A"/>
    <w:lvl w:ilvl="0">
      <w:start w:val="2"/>
      <w:numFmt w:val="decimal"/>
      <w:suff w:val="nothing"/>
      <w:lvlText w:val="（%1）"/>
      <w:lvlJc w:val="left"/>
      <w:rPr>
        <w:rFonts w:cs="Times New Roman"/>
      </w:rPr>
    </w:lvl>
  </w:abstractNum>
  <w:abstractNum w:abstractNumId="9">
    <w:nsid w:val="554B0B44"/>
    <w:multiLevelType w:val="singleLevel"/>
    <w:tmpl w:val="554B0B44"/>
    <w:lvl w:ilvl="0">
      <w:start w:val="4"/>
      <w:numFmt w:val="decimal"/>
      <w:suff w:val="nothing"/>
      <w:lvlText w:val="（%1）"/>
      <w:lvlJc w:val="left"/>
      <w:rPr>
        <w:rFonts w:cs="Times New Roman"/>
      </w:rPr>
    </w:lvl>
  </w:abstractNum>
  <w:abstractNum w:abstractNumId="10">
    <w:nsid w:val="56270633"/>
    <w:multiLevelType w:val="singleLevel"/>
    <w:tmpl w:val="56270633"/>
    <w:lvl w:ilvl="0">
      <w:start w:val="1"/>
      <w:numFmt w:val="chineseCounting"/>
      <w:suff w:val="nothing"/>
      <w:lvlText w:val="（%1）"/>
      <w:lvlJc w:val="left"/>
      <w:rPr>
        <w:rFonts w:cs="Times New Roman"/>
      </w:rPr>
    </w:lvl>
  </w:abstractNum>
  <w:abstractNum w:abstractNumId="11">
    <w:nsid w:val="56273C3F"/>
    <w:multiLevelType w:val="singleLevel"/>
    <w:tmpl w:val="56273C3F"/>
    <w:lvl w:ilvl="0">
      <w:start w:val="1"/>
      <w:numFmt w:val="decimal"/>
      <w:suff w:val="nothing"/>
      <w:lvlText w:val="%1、"/>
      <w:lvlJc w:val="left"/>
      <w:rPr>
        <w:rFonts w:cs="Times New Roman"/>
      </w:rPr>
    </w:lvl>
  </w:abstractNum>
  <w:num w:numId="1">
    <w:abstractNumId w:val="4"/>
  </w:num>
  <w:num w:numId="2">
    <w:abstractNumId w:val="6"/>
  </w:num>
  <w:num w:numId="3">
    <w:abstractNumId w:val="1"/>
  </w:num>
  <w:num w:numId="4">
    <w:abstractNumId w:val="0"/>
  </w:num>
  <w:num w:numId="5">
    <w:abstractNumId w:val="2"/>
  </w:num>
  <w:num w:numId="6">
    <w:abstractNumId w:val="10"/>
  </w:num>
  <w:num w:numId="7">
    <w:abstractNumId w:val="11"/>
  </w:num>
  <w:num w:numId="8">
    <w:abstractNumId w:val="5"/>
  </w:num>
  <w:num w:numId="9">
    <w:abstractNumId w:val="3"/>
  </w:num>
  <w:num w:numId="10">
    <w:abstractNumId w:val="8"/>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351"/>
    <w:rsid w:val="0000091C"/>
    <w:rsid w:val="00000AAF"/>
    <w:rsid w:val="00000C07"/>
    <w:rsid w:val="000027A8"/>
    <w:rsid w:val="00002B53"/>
    <w:rsid w:val="00004762"/>
    <w:rsid w:val="00004787"/>
    <w:rsid w:val="0000511A"/>
    <w:rsid w:val="00005293"/>
    <w:rsid w:val="00006F20"/>
    <w:rsid w:val="00010249"/>
    <w:rsid w:val="000124C9"/>
    <w:rsid w:val="000146E2"/>
    <w:rsid w:val="00014BF9"/>
    <w:rsid w:val="00014C49"/>
    <w:rsid w:val="0001564B"/>
    <w:rsid w:val="00016A10"/>
    <w:rsid w:val="00017A32"/>
    <w:rsid w:val="0002334C"/>
    <w:rsid w:val="00024876"/>
    <w:rsid w:val="00024B27"/>
    <w:rsid w:val="00024D2A"/>
    <w:rsid w:val="00026C7D"/>
    <w:rsid w:val="00026DAF"/>
    <w:rsid w:val="00027024"/>
    <w:rsid w:val="00027955"/>
    <w:rsid w:val="00027DB8"/>
    <w:rsid w:val="00030EB6"/>
    <w:rsid w:val="00031EA4"/>
    <w:rsid w:val="00032A5E"/>
    <w:rsid w:val="000333F9"/>
    <w:rsid w:val="00035A16"/>
    <w:rsid w:val="00036063"/>
    <w:rsid w:val="00036148"/>
    <w:rsid w:val="00037875"/>
    <w:rsid w:val="00037DCD"/>
    <w:rsid w:val="000411F7"/>
    <w:rsid w:val="0004204B"/>
    <w:rsid w:val="00043AD1"/>
    <w:rsid w:val="0004457E"/>
    <w:rsid w:val="00045B37"/>
    <w:rsid w:val="000461C0"/>
    <w:rsid w:val="000504E9"/>
    <w:rsid w:val="0005193F"/>
    <w:rsid w:val="00052593"/>
    <w:rsid w:val="00052C1A"/>
    <w:rsid w:val="00054625"/>
    <w:rsid w:val="0005539B"/>
    <w:rsid w:val="00055662"/>
    <w:rsid w:val="00056D8E"/>
    <w:rsid w:val="00056F55"/>
    <w:rsid w:val="00057474"/>
    <w:rsid w:val="00061FB1"/>
    <w:rsid w:val="00062986"/>
    <w:rsid w:val="00062D30"/>
    <w:rsid w:val="00062EEE"/>
    <w:rsid w:val="000658D9"/>
    <w:rsid w:val="00065BDD"/>
    <w:rsid w:val="000660D3"/>
    <w:rsid w:val="000665D0"/>
    <w:rsid w:val="00070823"/>
    <w:rsid w:val="00070993"/>
    <w:rsid w:val="00070BCC"/>
    <w:rsid w:val="00071429"/>
    <w:rsid w:val="0007176E"/>
    <w:rsid w:val="0007199F"/>
    <w:rsid w:val="00072663"/>
    <w:rsid w:val="000733B0"/>
    <w:rsid w:val="0007368B"/>
    <w:rsid w:val="000744C0"/>
    <w:rsid w:val="0007531E"/>
    <w:rsid w:val="000753B7"/>
    <w:rsid w:val="000755A8"/>
    <w:rsid w:val="00075843"/>
    <w:rsid w:val="00075AC8"/>
    <w:rsid w:val="00076790"/>
    <w:rsid w:val="000800D2"/>
    <w:rsid w:val="00080263"/>
    <w:rsid w:val="00080BB5"/>
    <w:rsid w:val="000814C4"/>
    <w:rsid w:val="0008196D"/>
    <w:rsid w:val="00082357"/>
    <w:rsid w:val="000829C3"/>
    <w:rsid w:val="00082BA1"/>
    <w:rsid w:val="000832FD"/>
    <w:rsid w:val="000839AF"/>
    <w:rsid w:val="00083D79"/>
    <w:rsid w:val="00084291"/>
    <w:rsid w:val="00086D40"/>
    <w:rsid w:val="00090755"/>
    <w:rsid w:val="0009082F"/>
    <w:rsid w:val="000911E8"/>
    <w:rsid w:val="00091CFC"/>
    <w:rsid w:val="00092593"/>
    <w:rsid w:val="000929A7"/>
    <w:rsid w:val="00092FF2"/>
    <w:rsid w:val="00093991"/>
    <w:rsid w:val="00093ECC"/>
    <w:rsid w:val="00094762"/>
    <w:rsid w:val="00095849"/>
    <w:rsid w:val="000978C5"/>
    <w:rsid w:val="000978E9"/>
    <w:rsid w:val="000A0463"/>
    <w:rsid w:val="000A131E"/>
    <w:rsid w:val="000A13F2"/>
    <w:rsid w:val="000A1744"/>
    <w:rsid w:val="000A1E13"/>
    <w:rsid w:val="000A36BC"/>
    <w:rsid w:val="000A3B61"/>
    <w:rsid w:val="000A4518"/>
    <w:rsid w:val="000A4F8B"/>
    <w:rsid w:val="000A503C"/>
    <w:rsid w:val="000A58A5"/>
    <w:rsid w:val="000A6B1A"/>
    <w:rsid w:val="000A7036"/>
    <w:rsid w:val="000A73C4"/>
    <w:rsid w:val="000A7661"/>
    <w:rsid w:val="000B0D36"/>
    <w:rsid w:val="000B210A"/>
    <w:rsid w:val="000B31E7"/>
    <w:rsid w:val="000B3DD6"/>
    <w:rsid w:val="000B5E76"/>
    <w:rsid w:val="000B5E85"/>
    <w:rsid w:val="000B747C"/>
    <w:rsid w:val="000B7F7C"/>
    <w:rsid w:val="000C125E"/>
    <w:rsid w:val="000C2B0A"/>
    <w:rsid w:val="000C40BF"/>
    <w:rsid w:val="000C411E"/>
    <w:rsid w:val="000C47AD"/>
    <w:rsid w:val="000C4968"/>
    <w:rsid w:val="000C6BC4"/>
    <w:rsid w:val="000C7B6E"/>
    <w:rsid w:val="000C7C46"/>
    <w:rsid w:val="000D0EE1"/>
    <w:rsid w:val="000D28BB"/>
    <w:rsid w:val="000D2BC0"/>
    <w:rsid w:val="000D39EF"/>
    <w:rsid w:val="000D3BEA"/>
    <w:rsid w:val="000D3D4D"/>
    <w:rsid w:val="000D4735"/>
    <w:rsid w:val="000E1E23"/>
    <w:rsid w:val="000E28EF"/>
    <w:rsid w:val="000E2FCB"/>
    <w:rsid w:val="000E42CF"/>
    <w:rsid w:val="000E46A9"/>
    <w:rsid w:val="000E5084"/>
    <w:rsid w:val="000E5B84"/>
    <w:rsid w:val="000E66C6"/>
    <w:rsid w:val="000E68A1"/>
    <w:rsid w:val="000E75EF"/>
    <w:rsid w:val="000F0975"/>
    <w:rsid w:val="000F1195"/>
    <w:rsid w:val="000F3B91"/>
    <w:rsid w:val="000F4767"/>
    <w:rsid w:val="000F578B"/>
    <w:rsid w:val="000F5B3D"/>
    <w:rsid w:val="000F622C"/>
    <w:rsid w:val="000F66D5"/>
    <w:rsid w:val="000F7EEB"/>
    <w:rsid w:val="00100FF9"/>
    <w:rsid w:val="00101100"/>
    <w:rsid w:val="00101466"/>
    <w:rsid w:val="001016EC"/>
    <w:rsid w:val="00102EF3"/>
    <w:rsid w:val="00103CFA"/>
    <w:rsid w:val="001050B7"/>
    <w:rsid w:val="00105CBE"/>
    <w:rsid w:val="001071A5"/>
    <w:rsid w:val="00110B48"/>
    <w:rsid w:val="00110F7C"/>
    <w:rsid w:val="00111AD0"/>
    <w:rsid w:val="00112627"/>
    <w:rsid w:val="00112AE1"/>
    <w:rsid w:val="00112F15"/>
    <w:rsid w:val="00113B39"/>
    <w:rsid w:val="00115202"/>
    <w:rsid w:val="00115658"/>
    <w:rsid w:val="00115808"/>
    <w:rsid w:val="001175A5"/>
    <w:rsid w:val="00120154"/>
    <w:rsid w:val="001206D7"/>
    <w:rsid w:val="00120D6E"/>
    <w:rsid w:val="00120F9C"/>
    <w:rsid w:val="001226E9"/>
    <w:rsid w:val="001258EF"/>
    <w:rsid w:val="00126497"/>
    <w:rsid w:val="0012656C"/>
    <w:rsid w:val="00126738"/>
    <w:rsid w:val="00126D6F"/>
    <w:rsid w:val="00126DA8"/>
    <w:rsid w:val="001271B8"/>
    <w:rsid w:val="00127D74"/>
    <w:rsid w:val="00131A1B"/>
    <w:rsid w:val="00131F02"/>
    <w:rsid w:val="00132AA3"/>
    <w:rsid w:val="001337A2"/>
    <w:rsid w:val="001341B6"/>
    <w:rsid w:val="00134412"/>
    <w:rsid w:val="001344A1"/>
    <w:rsid w:val="0013490D"/>
    <w:rsid w:val="00135BA8"/>
    <w:rsid w:val="00136D03"/>
    <w:rsid w:val="00140E23"/>
    <w:rsid w:val="001411A0"/>
    <w:rsid w:val="00141391"/>
    <w:rsid w:val="0014325B"/>
    <w:rsid w:val="00143758"/>
    <w:rsid w:val="00143FC7"/>
    <w:rsid w:val="0014538B"/>
    <w:rsid w:val="00147508"/>
    <w:rsid w:val="00150A0F"/>
    <w:rsid w:val="0015103A"/>
    <w:rsid w:val="00152A12"/>
    <w:rsid w:val="00152E98"/>
    <w:rsid w:val="00152F30"/>
    <w:rsid w:val="00153C64"/>
    <w:rsid w:val="0015495B"/>
    <w:rsid w:val="00155236"/>
    <w:rsid w:val="00155541"/>
    <w:rsid w:val="00156B7B"/>
    <w:rsid w:val="00156F67"/>
    <w:rsid w:val="001571FF"/>
    <w:rsid w:val="0016227F"/>
    <w:rsid w:val="00162474"/>
    <w:rsid w:val="00162CFE"/>
    <w:rsid w:val="001643E5"/>
    <w:rsid w:val="00164D22"/>
    <w:rsid w:val="00165204"/>
    <w:rsid w:val="00165A8F"/>
    <w:rsid w:val="00165C73"/>
    <w:rsid w:val="00166942"/>
    <w:rsid w:val="001669CF"/>
    <w:rsid w:val="00167D62"/>
    <w:rsid w:val="00170A2B"/>
    <w:rsid w:val="001725FF"/>
    <w:rsid w:val="00172A27"/>
    <w:rsid w:val="00173AB3"/>
    <w:rsid w:val="00174775"/>
    <w:rsid w:val="0017659C"/>
    <w:rsid w:val="00176E88"/>
    <w:rsid w:val="00177358"/>
    <w:rsid w:val="001775A5"/>
    <w:rsid w:val="00177C10"/>
    <w:rsid w:val="00180086"/>
    <w:rsid w:val="0018024B"/>
    <w:rsid w:val="001804E5"/>
    <w:rsid w:val="00180A09"/>
    <w:rsid w:val="0018184C"/>
    <w:rsid w:val="00183548"/>
    <w:rsid w:val="00183EFD"/>
    <w:rsid w:val="0018403E"/>
    <w:rsid w:val="0018514E"/>
    <w:rsid w:val="001857C3"/>
    <w:rsid w:val="001859B7"/>
    <w:rsid w:val="00185BC8"/>
    <w:rsid w:val="00187260"/>
    <w:rsid w:val="001876EF"/>
    <w:rsid w:val="00187915"/>
    <w:rsid w:val="00190136"/>
    <w:rsid w:val="00191ACE"/>
    <w:rsid w:val="001947BE"/>
    <w:rsid w:val="00194B98"/>
    <w:rsid w:val="00194F84"/>
    <w:rsid w:val="00195C22"/>
    <w:rsid w:val="00196931"/>
    <w:rsid w:val="0019779C"/>
    <w:rsid w:val="00197BDA"/>
    <w:rsid w:val="001A0A18"/>
    <w:rsid w:val="001A0A8B"/>
    <w:rsid w:val="001A1635"/>
    <w:rsid w:val="001A1F41"/>
    <w:rsid w:val="001A3BFC"/>
    <w:rsid w:val="001A47BB"/>
    <w:rsid w:val="001A4FF3"/>
    <w:rsid w:val="001A52DF"/>
    <w:rsid w:val="001A5BF7"/>
    <w:rsid w:val="001A6651"/>
    <w:rsid w:val="001A6CFE"/>
    <w:rsid w:val="001A76EB"/>
    <w:rsid w:val="001A7ADE"/>
    <w:rsid w:val="001A7E26"/>
    <w:rsid w:val="001B00DF"/>
    <w:rsid w:val="001B06F5"/>
    <w:rsid w:val="001B0728"/>
    <w:rsid w:val="001B16B4"/>
    <w:rsid w:val="001B1B05"/>
    <w:rsid w:val="001B282A"/>
    <w:rsid w:val="001B30FD"/>
    <w:rsid w:val="001B34DF"/>
    <w:rsid w:val="001C1037"/>
    <w:rsid w:val="001C1AA9"/>
    <w:rsid w:val="001C2C59"/>
    <w:rsid w:val="001C5B10"/>
    <w:rsid w:val="001D08A0"/>
    <w:rsid w:val="001D264F"/>
    <w:rsid w:val="001D3ED6"/>
    <w:rsid w:val="001D4079"/>
    <w:rsid w:val="001D4545"/>
    <w:rsid w:val="001D51CA"/>
    <w:rsid w:val="001D7168"/>
    <w:rsid w:val="001D7ED0"/>
    <w:rsid w:val="001E0D17"/>
    <w:rsid w:val="001E1B01"/>
    <w:rsid w:val="001E1C5A"/>
    <w:rsid w:val="001E2311"/>
    <w:rsid w:val="001E3427"/>
    <w:rsid w:val="001E43C0"/>
    <w:rsid w:val="001E47BB"/>
    <w:rsid w:val="001E4BB0"/>
    <w:rsid w:val="001E4E11"/>
    <w:rsid w:val="001E4E3D"/>
    <w:rsid w:val="001E5AAD"/>
    <w:rsid w:val="001E7213"/>
    <w:rsid w:val="001E74C5"/>
    <w:rsid w:val="001F0365"/>
    <w:rsid w:val="001F095E"/>
    <w:rsid w:val="001F1EF6"/>
    <w:rsid w:val="001F2E07"/>
    <w:rsid w:val="001F2EC9"/>
    <w:rsid w:val="001F41FF"/>
    <w:rsid w:val="001F4338"/>
    <w:rsid w:val="001F4416"/>
    <w:rsid w:val="001F479E"/>
    <w:rsid w:val="001F4B1B"/>
    <w:rsid w:val="001F5E60"/>
    <w:rsid w:val="001F6CDF"/>
    <w:rsid w:val="002011AC"/>
    <w:rsid w:val="002015B6"/>
    <w:rsid w:val="00201F17"/>
    <w:rsid w:val="00201F9B"/>
    <w:rsid w:val="002022D2"/>
    <w:rsid w:val="002028E5"/>
    <w:rsid w:val="00202F33"/>
    <w:rsid w:val="002037E7"/>
    <w:rsid w:val="0020468C"/>
    <w:rsid w:val="002066B0"/>
    <w:rsid w:val="002074E3"/>
    <w:rsid w:val="002078FC"/>
    <w:rsid w:val="00210AEB"/>
    <w:rsid w:val="00210C28"/>
    <w:rsid w:val="002113D2"/>
    <w:rsid w:val="00212001"/>
    <w:rsid w:val="00212207"/>
    <w:rsid w:val="00212243"/>
    <w:rsid w:val="0021237E"/>
    <w:rsid w:val="00212BCF"/>
    <w:rsid w:val="0021378C"/>
    <w:rsid w:val="00213C4B"/>
    <w:rsid w:val="00214042"/>
    <w:rsid w:val="00214CFA"/>
    <w:rsid w:val="00214E73"/>
    <w:rsid w:val="00215FC5"/>
    <w:rsid w:val="0021649C"/>
    <w:rsid w:val="00216F03"/>
    <w:rsid w:val="00221354"/>
    <w:rsid w:val="00221428"/>
    <w:rsid w:val="00221617"/>
    <w:rsid w:val="00221905"/>
    <w:rsid w:val="00221F63"/>
    <w:rsid w:val="00223B00"/>
    <w:rsid w:val="00224437"/>
    <w:rsid w:val="00224E49"/>
    <w:rsid w:val="00226B73"/>
    <w:rsid w:val="00226F92"/>
    <w:rsid w:val="002276FC"/>
    <w:rsid w:val="00230478"/>
    <w:rsid w:val="0023149C"/>
    <w:rsid w:val="002326E2"/>
    <w:rsid w:val="00232A53"/>
    <w:rsid w:val="00233B76"/>
    <w:rsid w:val="00233DEE"/>
    <w:rsid w:val="00235070"/>
    <w:rsid w:val="0024014F"/>
    <w:rsid w:val="00240BE1"/>
    <w:rsid w:val="002415CF"/>
    <w:rsid w:val="00242111"/>
    <w:rsid w:val="002422BA"/>
    <w:rsid w:val="00242CFC"/>
    <w:rsid w:val="002456FC"/>
    <w:rsid w:val="00247788"/>
    <w:rsid w:val="00247C6F"/>
    <w:rsid w:val="00251276"/>
    <w:rsid w:val="00251D1E"/>
    <w:rsid w:val="00252687"/>
    <w:rsid w:val="00253A51"/>
    <w:rsid w:val="00254CA1"/>
    <w:rsid w:val="002552AB"/>
    <w:rsid w:val="00256116"/>
    <w:rsid w:val="002567F4"/>
    <w:rsid w:val="00257269"/>
    <w:rsid w:val="00257ED9"/>
    <w:rsid w:val="002624FD"/>
    <w:rsid w:val="00262EA4"/>
    <w:rsid w:val="00262F78"/>
    <w:rsid w:val="00263FF4"/>
    <w:rsid w:val="002663CA"/>
    <w:rsid w:val="00266993"/>
    <w:rsid w:val="00267B7B"/>
    <w:rsid w:val="0027138D"/>
    <w:rsid w:val="00271686"/>
    <w:rsid w:val="00271D70"/>
    <w:rsid w:val="0027210C"/>
    <w:rsid w:val="00274935"/>
    <w:rsid w:val="00275753"/>
    <w:rsid w:val="00276D09"/>
    <w:rsid w:val="00277FF2"/>
    <w:rsid w:val="00280DCA"/>
    <w:rsid w:val="0028190C"/>
    <w:rsid w:val="002834B1"/>
    <w:rsid w:val="002845FF"/>
    <w:rsid w:val="00284BD3"/>
    <w:rsid w:val="00285704"/>
    <w:rsid w:val="00286151"/>
    <w:rsid w:val="00290784"/>
    <w:rsid w:val="002944D1"/>
    <w:rsid w:val="002945A8"/>
    <w:rsid w:val="002952CC"/>
    <w:rsid w:val="00295AAA"/>
    <w:rsid w:val="00296382"/>
    <w:rsid w:val="002968C5"/>
    <w:rsid w:val="00296975"/>
    <w:rsid w:val="00296A9D"/>
    <w:rsid w:val="00297C0C"/>
    <w:rsid w:val="002A0694"/>
    <w:rsid w:val="002A09A8"/>
    <w:rsid w:val="002A34CE"/>
    <w:rsid w:val="002A3AAF"/>
    <w:rsid w:val="002A4BB8"/>
    <w:rsid w:val="002A4EB9"/>
    <w:rsid w:val="002A5595"/>
    <w:rsid w:val="002A6DB3"/>
    <w:rsid w:val="002A75EA"/>
    <w:rsid w:val="002B04F5"/>
    <w:rsid w:val="002B0CE4"/>
    <w:rsid w:val="002B112C"/>
    <w:rsid w:val="002B1318"/>
    <w:rsid w:val="002B247C"/>
    <w:rsid w:val="002B2B43"/>
    <w:rsid w:val="002B2D1E"/>
    <w:rsid w:val="002B4A52"/>
    <w:rsid w:val="002B4C3A"/>
    <w:rsid w:val="002B5FD2"/>
    <w:rsid w:val="002B76E1"/>
    <w:rsid w:val="002B7A33"/>
    <w:rsid w:val="002C013C"/>
    <w:rsid w:val="002C0C17"/>
    <w:rsid w:val="002C106B"/>
    <w:rsid w:val="002C1255"/>
    <w:rsid w:val="002C31E5"/>
    <w:rsid w:val="002C403E"/>
    <w:rsid w:val="002C55C9"/>
    <w:rsid w:val="002C6058"/>
    <w:rsid w:val="002C6790"/>
    <w:rsid w:val="002C6B25"/>
    <w:rsid w:val="002D416B"/>
    <w:rsid w:val="002D4369"/>
    <w:rsid w:val="002D47F2"/>
    <w:rsid w:val="002D4E37"/>
    <w:rsid w:val="002D5D59"/>
    <w:rsid w:val="002E2A1D"/>
    <w:rsid w:val="002E2B66"/>
    <w:rsid w:val="002E442F"/>
    <w:rsid w:val="002E4B47"/>
    <w:rsid w:val="002E52E2"/>
    <w:rsid w:val="002E65EC"/>
    <w:rsid w:val="002E7004"/>
    <w:rsid w:val="002E70E4"/>
    <w:rsid w:val="002E7152"/>
    <w:rsid w:val="002E74A2"/>
    <w:rsid w:val="002F003D"/>
    <w:rsid w:val="002F20BD"/>
    <w:rsid w:val="002F2984"/>
    <w:rsid w:val="002F2CF9"/>
    <w:rsid w:val="002F309E"/>
    <w:rsid w:val="002F3941"/>
    <w:rsid w:val="002F41F3"/>
    <w:rsid w:val="002F4AC9"/>
    <w:rsid w:val="002F54C9"/>
    <w:rsid w:val="002F57C6"/>
    <w:rsid w:val="002F6C51"/>
    <w:rsid w:val="002F7348"/>
    <w:rsid w:val="002F7BCA"/>
    <w:rsid w:val="003003E0"/>
    <w:rsid w:val="003004A7"/>
    <w:rsid w:val="00300C29"/>
    <w:rsid w:val="003019A2"/>
    <w:rsid w:val="003019D2"/>
    <w:rsid w:val="00301D91"/>
    <w:rsid w:val="00302577"/>
    <w:rsid w:val="003025C4"/>
    <w:rsid w:val="003029AE"/>
    <w:rsid w:val="0030450F"/>
    <w:rsid w:val="003057B2"/>
    <w:rsid w:val="0030641A"/>
    <w:rsid w:val="003066AE"/>
    <w:rsid w:val="003073B1"/>
    <w:rsid w:val="003111FA"/>
    <w:rsid w:val="003114E0"/>
    <w:rsid w:val="00312BE2"/>
    <w:rsid w:val="003141C0"/>
    <w:rsid w:val="00314F8E"/>
    <w:rsid w:val="00315819"/>
    <w:rsid w:val="003179B4"/>
    <w:rsid w:val="00320E00"/>
    <w:rsid w:val="0032168F"/>
    <w:rsid w:val="00321DA7"/>
    <w:rsid w:val="00321F54"/>
    <w:rsid w:val="00323864"/>
    <w:rsid w:val="00324659"/>
    <w:rsid w:val="00326923"/>
    <w:rsid w:val="00326A08"/>
    <w:rsid w:val="00327E3F"/>
    <w:rsid w:val="00330194"/>
    <w:rsid w:val="0033029D"/>
    <w:rsid w:val="0033093C"/>
    <w:rsid w:val="003310AC"/>
    <w:rsid w:val="00331157"/>
    <w:rsid w:val="00331BFB"/>
    <w:rsid w:val="0033270B"/>
    <w:rsid w:val="0033387F"/>
    <w:rsid w:val="00337160"/>
    <w:rsid w:val="00337FAC"/>
    <w:rsid w:val="00341390"/>
    <w:rsid w:val="003416F9"/>
    <w:rsid w:val="00341EFB"/>
    <w:rsid w:val="00344094"/>
    <w:rsid w:val="00344914"/>
    <w:rsid w:val="00344E59"/>
    <w:rsid w:val="003460F9"/>
    <w:rsid w:val="0034719E"/>
    <w:rsid w:val="00347211"/>
    <w:rsid w:val="00347CE8"/>
    <w:rsid w:val="00350E3F"/>
    <w:rsid w:val="003510EF"/>
    <w:rsid w:val="0035188F"/>
    <w:rsid w:val="00351C7D"/>
    <w:rsid w:val="00351E77"/>
    <w:rsid w:val="00352EC4"/>
    <w:rsid w:val="00352FBB"/>
    <w:rsid w:val="00353264"/>
    <w:rsid w:val="003538E2"/>
    <w:rsid w:val="00353F6D"/>
    <w:rsid w:val="00354214"/>
    <w:rsid w:val="00354CFA"/>
    <w:rsid w:val="00356B6F"/>
    <w:rsid w:val="0036004A"/>
    <w:rsid w:val="00360798"/>
    <w:rsid w:val="00361839"/>
    <w:rsid w:val="0036189E"/>
    <w:rsid w:val="00361F50"/>
    <w:rsid w:val="00363376"/>
    <w:rsid w:val="00364AFB"/>
    <w:rsid w:val="00365A87"/>
    <w:rsid w:val="00366B14"/>
    <w:rsid w:val="00370AEF"/>
    <w:rsid w:val="00370EF7"/>
    <w:rsid w:val="003710D9"/>
    <w:rsid w:val="003716CE"/>
    <w:rsid w:val="003719C9"/>
    <w:rsid w:val="00372235"/>
    <w:rsid w:val="003727B4"/>
    <w:rsid w:val="00373247"/>
    <w:rsid w:val="00374F20"/>
    <w:rsid w:val="003753DC"/>
    <w:rsid w:val="00375785"/>
    <w:rsid w:val="00375D08"/>
    <w:rsid w:val="0038005D"/>
    <w:rsid w:val="003801E3"/>
    <w:rsid w:val="0038044B"/>
    <w:rsid w:val="00381063"/>
    <w:rsid w:val="00382EA6"/>
    <w:rsid w:val="00384AC5"/>
    <w:rsid w:val="003853B3"/>
    <w:rsid w:val="00391B33"/>
    <w:rsid w:val="003945D1"/>
    <w:rsid w:val="003956C3"/>
    <w:rsid w:val="00395F38"/>
    <w:rsid w:val="00396144"/>
    <w:rsid w:val="00397F9D"/>
    <w:rsid w:val="003A0195"/>
    <w:rsid w:val="003A0676"/>
    <w:rsid w:val="003A0A5B"/>
    <w:rsid w:val="003A1554"/>
    <w:rsid w:val="003A2E78"/>
    <w:rsid w:val="003A4709"/>
    <w:rsid w:val="003A50EA"/>
    <w:rsid w:val="003A624D"/>
    <w:rsid w:val="003A689C"/>
    <w:rsid w:val="003A6A7B"/>
    <w:rsid w:val="003A765F"/>
    <w:rsid w:val="003B1B02"/>
    <w:rsid w:val="003B278F"/>
    <w:rsid w:val="003B41F0"/>
    <w:rsid w:val="003B619E"/>
    <w:rsid w:val="003B7403"/>
    <w:rsid w:val="003B7784"/>
    <w:rsid w:val="003B7C02"/>
    <w:rsid w:val="003C0588"/>
    <w:rsid w:val="003C0EF2"/>
    <w:rsid w:val="003C13E6"/>
    <w:rsid w:val="003C4E6C"/>
    <w:rsid w:val="003C74D6"/>
    <w:rsid w:val="003C7B5D"/>
    <w:rsid w:val="003C7B64"/>
    <w:rsid w:val="003D0005"/>
    <w:rsid w:val="003D0424"/>
    <w:rsid w:val="003D17FA"/>
    <w:rsid w:val="003D4032"/>
    <w:rsid w:val="003D42E6"/>
    <w:rsid w:val="003D439F"/>
    <w:rsid w:val="003D4CF0"/>
    <w:rsid w:val="003D7D44"/>
    <w:rsid w:val="003E049F"/>
    <w:rsid w:val="003E0DCA"/>
    <w:rsid w:val="003E1280"/>
    <w:rsid w:val="003E1371"/>
    <w:rsid w:val="003E14CF"/>
    <w:rsid w:val="003E192E"/>
    <w:rsid w:val="003E2737"/>
    <w:rsid w:val="003E360C"/>
    <w:rsid w:val="003E3DCF"/>
    <w:rsid w:val="003E5B15"/>
    <w:rsid w:val="003E5CAB"/>
    <w:rsid w:val="003E7267"/>
    <w:rsid w:val="003E7638"/>
    <w:rsid w:val="003E777C"/>
    <w:rsid w:val="003E77F9"/>
    <w:rsid w:val="003E794D"/>
    <w:rsid w:val="003E7B9F"/>
    <w:rsid w:val="003E7C2D"/>
    <w:rsid w:val="003E7FF9"/>
    <w:rsid w:val="003F09F0"/>
    <w:rsid w:val="003F1354"/>
    <w:rsid w:val="003F3321"/>
    <w:rsid w:val="003F4245"/>
    <w:rsid w:val="003F503D"/>
    <w:rsid w:val="003F551E"/>
    <w:rsid w:val="003F6103"/>
    <w:rsid w:val="003F67EC"/>
    <w:rsid w:val="003F79EA"/>
    <w:rsid w:val="003F7DEC"/>
    <w:rsid w:val="00400A4D"/>
    <w:rsid w:val="00400DD2"/>
    <w:rsid w:val="00401788"/>
    <w:rsid w:val="004024CB"/>
    <w:rsid w:val="004028D6"/>
    <w:rsid w:val="00403B40"/>
    <w:rsid w:val="00404401"/>
    <w:rsid w:val="00404D3A"/>
    <w:rsid w:val="0040514E"/>
    <w:rsid w:val="00405538"/>
    <w:rsid w:val="004059E7"/>
    <w:rsid w:val="00406FF9"/>
    <w:rsid w:val="0040731E"/>
    <w:rsid w:val="004101C6"/>
    <w:rsid w:val="004108D0"/>
    <w:rsid w:val="00411847"/>
    <w:rsid w:val="00412682"/>
    <w:rsid w:val="00413B83"/>
    <w:rsid w:val="00413EFB"/>
    <w:rsid w:val="00414BF1"/>
    <w:rsid w:val="00414D83"/>
    <w:rsid w:val="004151A2"/>
    <w:rsid w:val="00415D16"/>
    <w:rsid w:val="004160D1"/>
    <w:rsid w:val="0041629B"/>
    <w:rsid w:val="00416E90"/>
    <w:rsid w:val="00416EB6"/>
    <w:rsid w:val="004173EF"/>
    <w:rsid w:val="00421092"/>
    <w:rsid w:val="00422DAB"/>
    <w:rsid w:val="00424249"/>
    <w:rsid w:val="0042454D"/>
    <w:rsid w:val="00424631"/>
    <w:rsid w:val="00424BED"/>
    <w:rsid w:val="00426177"/>
    <w:rsid w:val="00426AA6"/>
    <w:rsid w:val="00426BE7"/>
    <w:rsid w:val="00430842"/>
    <w:rsid w:val="00431D73"/>
    <w:rsid w:val="004327A2"/>
    <w:rsid w:val="00432840"/>
    <w:rsid w:val="00433809"/>
    <w:rsid w:val="00433B19"/>
    <w:rsid w:val="00434894"/>
    <w:rsid w:val="00436B56"/>
    <w:rsid w:val="004379F3"/>
    <w:rsid w:val="0044128C"/>
    <w:rsid w:val="0044155C"/>
    <w:rsid w:val="00441854"/>
    <w:rsid w:val="004430DF"/>
    <w:rsid w:val="0044311D"/>
    <w:rsid w:val="004440DF"/>
    <w:rsid w:val="00444EA9"/>
    <w:rsid w:val="00447545"/>
    <w:rsid w:val="00447CCB"/>
    <w:rsid w:val="00447E2A"/>
    <w:rsid w:val="0045239E"/>
    <w:rsid w:val="004532F0"/>
    <w:rsid w:val="0045368A"/>
    <w:rsid w:val="0045368D"/>
    <w:rsid w:val="00453A14"/>
    <w:rsid w:val="004542CB"/>
    <w:rsid w:val="00455B76"/>
    <w:rsid w:val="00455FE3"/>
    <w:rsid w:val="004565DA"/>
    <w:rsid w:val="00456A8F"/>
    <w:rsid w:val="004601E8"/>
    <w:rsid w:val="00460508"/>
    <w:rsid w:val="00460A56"/>
    <w:rsid w:val="00460ABA"/>
    <w:rsid w:val="004610E4"/>
    <w:rsid w:val="00462373"/>
    <w:rsid w:val="00463C36"/>
    <w:rsid w:val="00463D4C"/>
    <w:rsid w:val="00464C5D"/>
    <w:rsid w:val="00464D9F"/>
    <w:rsid w:val="00465BF5"/>
    <w:rsid w:val="004676C9"/>
    <w:rsid w:val="0047021A"/>
    <w:rsid w:val="004714D4"/>
    <w:rsid w:val="00471772"/>
    <w:rsid w:val="00472AE5"/>
    <w:rsid w:val="00472B56"/>
    <w:rsid w:val="00473DDF"/>
    <w:rsid w:val="00474445"/>
    <w:rsid w:val="00475055"/>
    <w:rsid w:val="00475325"/>
    <w:rsid w:val="00476617"/>
    <w:rsid w:val="00476B8D"/>
    <w:rsid w:val="00477158"/>
    <w:rsid w:val="00481513"/>
    <w:rsid w:val="00481907"/>
    <w:rsid w:val="00481F2D"/>
    <w:rsid w:val="004821E3"/>
    <w:rsid w:val="00482DB3"/>
    <w:rsid w:val="0048336C"/>
    <w:rsid w:val="0048386F"/>
    <w:rsid w:val="0048434B"/>
    <w:rsid w:val="00484555"/>
    <w:rsid w:val="00484744"/>
    <w:rsid w:val="00484A02"/>
    <w:rsid w:val="00484F05"/>
    <w:rsid w:val="00485A1B"/>
    <w:rsid w:val="0048775F"/>
    <w:rsid w:val="004905B0"/>
    <w:rsid w:val="004907D2"/>
    <w:rsid w:val="00492944"/>
    <w:rsid w:val="00492BB8"/>
    <w:rsid w:val="00493D4C"/>
    <w:rsid w:val="00495443"/>
    <w:rsid w:val="004954EF"/>
    <w:rsid w:val="0049565E"/>
    <w:rsid w:val="00495B4E"/>
    <w:rsid w:val="0049770E"/>
    <w:rsid w:val="004978BA"/>
    <w:rsid w:val="004A2C2C"/>
    <w:rsid w:val="004A302E"/>
    <w:rsid w:val="004A5532"/>
    <w:rsid w:val="004A6A17"/>
    <w:rsid w:val="004A6F8A"/>
    <w:rsid w:val="004A7969"/>
    <w:rsid w:val="004A797F"/>
    <w:rsid w:val="004B008A"/>
    <w:rsid w:val="004B1AA9"/>
    <w:rsid w:val="004B25EB"/>
    <w:rsid w:val="004B4429"/>
    <w:rsid w:val="004B579F"/>
    <w:rsid w:val="004B64B7"/>
    <w:rsid w:val="004B6589"/>
    <w:rsid w:val="004C1748"/>
    <w:rsid w:val="004C1C84"/>
    <w:rsid w:val="004C22D9"/>
    <w:rsid w:val="004C23DA"/>
    <w:rsid w:val="004C2942"/>
    <w:rsid w:val="004C2A1C"/>
    <w:rsid w:val="004C2CD2"/>
    <w:rsid w:val="004C461B"/>
    <w:rsid w:val="004C5879"/>
    <w:rsid w:val="004D0413"/>
    <w:rsid w:val="004D0BD1"/>
    <w:rsid w:val="004D0F63"/>
    <w:rsid w:val="004D126E"/>
    <w:rsid w:val="004D1278"/>
    <w:rsid w:val="004D255F"/>
    <w:rsid w:val="004D38F7"/>
    <w:rsid w:val="004D3F20"/>
    <w:rsid w:val="004D4E41"/>
    <w:rsid w:val="004D5688"/>
    <w:rsid w:val="004D5792"/>
    <w:rsid w:val="004D64A4"/>
    <w:rsid w:val="004E0D60"/>
    <w:rsid w:val="004E16B9"/>
    <w:rsid w:val="004E1B99"/>
    <w:rsid w:val="004E1FD5"/>
    <w:rsid w:val="004E2142"/>
    <w:rsid w:val="004E238A"/>
    <w:rsid w:val="004E445F"/>
    <w:rsid w:val="004E4A0B"/>
    <w:rsid w:val="004E4E18"/>
    <w:rsid w:val="004E57A5"/>
    <w:rsid w:val="004E5E6D"/>
    <w:rsid w:val="004E781F"/>
    <w:rsid w:val="004E7868"/>
    <w:rsid w:val="004F0152"/>
    <w:rsid w:val="004F0589"/>
    <w:rsid w:val="004F0F0A"/>
    <w:rsid w:val="004F1104"/>
    <w:rsid w:val="004F2AD1"/>
    <w:rsid w:val="004F2EB9"/>
    <w:rsid w:val="004F3930"/>
    <w:rsid w:val="004F4073"/>
    <w:rsid w:val="004F4486"/>
    <w:rsid w:val="004F45B6"/>
    <w:rsid w:val="004F4F82"/>
    <w:rsid w:val="004F5060"/>
    <w:rsid w:val="004F5081"/>
    <w:rsid w:val="004F6C3B"/>
    <w:rsid w:val="004F7B18"/>
    <w:rsid w:val="00501BD5"/>
    <w:rsid w:val="0050404D"/>
    <w:rsid w:val="005057EB"/>
    <w:rsid w:val="005063E7"/>
    <w:rsid w:val="00506456"/>
    <w:rsid w:val="00507788"/>
    <w:rsid w:val="00507D93"/>
    <w:rsid w:val="0051002D"/>
    <w:rsid w:val="00510886"/>
    <w:rsid w:val="00511664"/>
    <w:rsid w:val="00511D38"/>
    <w:rsid w:val="0051311E"/>
    <w:rsid w:val="00514525"/>
    <w:rsid w:val="005151BF"/>
    <w:rsid w:val="00515E9E"/>
    <w:rsid w:val="005169CA"/>
    <w:rsid w:val="00520307"/>
    <w:rsid w:val="005218F4"/>
    <w:rsid w:val="00525B03"/>
    <w:rsid w:val="005263FF"/>
    <w:rsid w:val="0052713D"/>
    <w:rsid w:val="0052777F"/>
    <w:rsid w:val="005278F8"/>
    <w:rsid w:val="00527CE5"/>
    <w:rsid w:val="00530D5C"/>
    <w:rsid w:val="0053160F"/>
    <w:rsid w:val="005318DB"/>
    <w:rsid w:val="0053307D"/>
    <w:rsid w:val="00533CED"/>
    <w:rsid w:val="00534240"/>
    <w:rsid w:val="005363FB"/>
    <w:rsid w:val="00537230"/>
    <w:rsid w:val="00537D7F"/>
    <w:rsid w:val="005407E3"/>
    <w:rsid w:val="005411E1"/>
    <w:rsid w:val="00542BAC"/>
    <w:rsid w:val="00542EA1"/>
    <w:rsid w:val="00544BDD"/>
    <w:rsid w:val="00545EAB"/>
    <w:rsid w:val="00546772"/>
    <w:rsid w:val="0054697C"/>
    <w:rsid w:val="0055225D"/>
    <w:rsid w:val="00552D1E"/>
    <w:rsid w:val="005534C6"/>
    <w:rsid w:val="0055398D"/>
    <w:rsid w:val="00553E41"/>
    <w:rsid w:val="00554650"/>
    <w:rsid w:val="00555B8F"/>
    <w:rsid w:val="00560E0C"/>
    <w:rsid w:val="00560F89"/>
    <w:rsid w:val="005624A8"/>
    <w:rsid w:val="005628D8"/>
    <w:rsid w:val="00562945"/>
    <w:rsid w:val="00564010"/>
    <w:rsid w:val="00565846"/>
    <w:rsid w:val="00566316"/>
    <w:rsid w:val="0056644A"/>
    <w:rsid w:val="00566A1B"/>
    <w:rsid w:val="00567755"/>
    <w:rsid w:val="00570E07"/>
    <w:rsid w:val="005713FC"/>
    <w:rsid w:val="005717BD"/>
    <w:rsid w:val="005720F5"/>
    <w:rsid w:val="00572B8E"/>
    <w:rsid w:val="00572E7B"/>
    <w:rsid w:val="00573A91"/>
    <w:rsid w:val="00573B3E"/>
    <w:rsid w:val="005752AD"/>
    <w:rsid w:val="005769CF"/>
    <w:rsid w:val="005770A2"/>
    <w:rsid w:val="005827F7"/>
    <w:rsid w:val="00583021"/>
    <w:rsid w:val="00583453"/>
    <w:rsid w:val="00584B37"/>
    <w:rsid w:val="0058792C"/>
    <w:rsid w:val="005900A3"/>
    <w:rsid w:val="00590F5C"/>
    <w:rsid w:val="00592A21"/>
    <w:rsid w:val="00594354"/>
    <w:rsid w:val="00594D04"/>
    <w:rsid w:val="00595017"/>
    <w:rsid w:val="00595ED1"/>
    <w:rsid w:val="005970DC"/>
    <w:rsid w:val="005A1CF7"/>
    <w:rsid w:val="005A26B8"/>
    <w:rsid w:val="005A2913"/>
    <w:rsid w:val="005A2D2C"/>
    <w:rsid w:val="005A31B6"/>
    <w:rsid w:val="005A6F6D"/>
    <w:rsid w:val="005A7821"/>
    <w:rsid w:val="005A782B"/>
    <w:rsid w:val="005A7E51"/>
    <w:rsid w:val="005A7F4D"/>
    <w:rsid w:val="005B0718"/>
    <w:rsid w:val="005B0A11"/>
    <w:rsid w:val="005B1736"/>
    <w:rsid w:val="005B3807"/>
    <w:rsid w:val="005B4D53"/>
    <w:rsid w:val="005B638F"/>
    <w:rsid w:val="005B715C"/>
    <w:rsid w:val="005B7558"/>
    <w:rsid w:val="005C07CD"/>
    <w:rsid w:val="005C0EEC"/>
    <w:rsid w:val="005C1208"/>
    <w:rsid w:val="005C197C"/>
    <w:rsid w:val="005C1B38"/>
    <w:rsid w:val="005C2E45"/>
    <w:rsid w:val="005C33D0"/>
    <w:rsid w:val="005C39FF"/>
    <w:rsid w:val="005C3A98"/>
    <w:rsid w:val="005C3C32"/>
    <w:rsid w:val="005C3EF4"/>
    <w:rsid w:val="005C42B4"/>
    <w:rsid w:val="005C438E"/>
    <w:rsid w:val="005C4781"/>
    <w:rsid w:val="005C5857"/>
    <w:rsid w:val="005C5DC8"/>
    <w:rsid w:val="005C7192"/>
    <w:rsid w:val="005D0244"/>
    <w:rsid w:val="005D05E5"/>
    <w:rsid w:val="005D06C3"/>
    <w:rsid w:val="005D13FF"/>
    <w:rsid w:val="005D186E"/>
    <w:rsid w:val="005D1C78"/>
    <w:rsid w:val="005D3023"/>
    <w:rsid w:val="005D38E7"/>
    <w:rsid w:val="005D3975"/>
    <w:rsid w:val="005D4E61"/>
    <w:rsid w:val="005D4EB5"/>
    <w:rsid w:val="005D7640"/>
    <w:rsid w:val="005E16D4"/>
    <w:rsid w:val="005E4B41"/>
    <w:rsid w:val="005E61CD"/>
    <w:rsid w:val="005E6BF4"/>
    <w:rsid w:val="005E7BAB"/>
    <w:rsid w:val="005F0480"/>
    <w:rsid w:val="005F154F"/>
    <w:rsid w:val="005F298F"/>
    <w:rsid w:val="005F2C3D"/>
    <w:rsid w:val="005F33E2"/>
    <w:rsid w:val="005F4E01"/>
    <w:rsid w:val="005F5206"/>
    <w:rsid w:val="005F7603"/>
    <w:rsid w:val="005F760E"/>
    <w:rsid w:val="005F79D8"/>
    <w:rsid w:val="00600F6B"/>
    <w:rsid w:val="0060274F"/>
    <w:rsid w:val="0060428A"/>
    <w:rsid w:val="0060434A"/>
    <w:rsid w:val="00605C7A"/>
    <w:rsid w:val="00605E07"/>
    <w:rsid w:val="00612E65"/>
    <w:rsid w:val="006134F7"/>
    <w:rsid w:val="006150EA"/>
    <w:rsid w:val="00616569"/>
    <w:rsid w:val="00616587"/>
    <w:rsid w:val="006169EC"/>
    <w:rsid w:val="00616E6C"/>
    <w:rsid w:val="006202BC"/>
    <w:rsid w:val="00620378"/>
    <w:rsid w:val="006207C4"/>
    <w:rsid w:val="00620ACE"/>
    <w:rsid w:val="006212F1"/>
    <w:rsid w:val="00621457"/>
    <w:rsid w:val="0062168A"/>
    <w:rsid w:val="0062176E"/>
    <w:rsid w:val="006226B0"/>
    <w:rsid w:val="0062292C"/>
    <w:rsid w:val="00624524"/>
    <w:rsid w:val="00624625"/>
    <w:rsid w:val="00624921"/>
    <w:rsid w:val="00627207"/>
    <w:rsid w:val="00627E6D"/>
    <w:rsid w:val="006315B7"/>
    <w:rsid w:val="00633C70"/>
    <w:rsid w:val="00634B52"/>
    <w:rsid w:val="00635ADB"/>
    <w:rsid w:val="006366EB"/>
    <w:rsid w:val="00640AD1"/>
    <w:rsid w:val="00642DA3"/>
    <w:rsid w:val="006434CB"/>
    <w:rsid w:val="0064385E"/>
    <w:rsid w:val="00644506"/>
    <w:rsid w:val="00645FDB"/>
    <w:rsid w:val="00646D86"/>
    <w:rsid w:val="006477EC"/>
    <w:rsid w:val="00647C11"/>
    <w:rsid w:val="00650654"/>
    <w:rsid w:val="006507D5"/>
    <w:rsid w:val="00651FC6"/>
    <w:rsid w:val="006525C2"/>
    <w:rsid w:val="006530A8"/>
    <w:rsid w:val="0065345F"/>
    <w:rsid w:val="006539E1"/>
    <w:rsid w:val="00653CA0"/>
    <w:rsid w:val="006541F6"/>
    <w:rsid w:val="00654895"/>
    <w:rsid w:val="0065581B"/>
    <w:rsid w:val="00655AD6"/>
    <w:rsid w:val="00655E7A"/>
    <w:rsid w:val="00656672"/>
    <w:rsid w:val="0065667B"/>
    <w:rsid w:val="00656FD3"/>
    <w:rsid w:val="006578E1"/>
    <w:rsid w:val="00660A43"/>
    <w:rsid w:val="00661424"/>
    <w:rsid w:val="00662D14"/>
    <w:rsid w:val="00662E3C"/>
    <w:rsid w:val="00662F4A"/>
    <w:rsid w:val="00663C03"/>
    <w:rsid w:val="00664D92"/>
    <w:rsid w:val="00665B15"/>
    <w:rsid w:val="00666386"/>
    <w:rsid w:val="006663FD"/>
    <w:rsid w:val="0066648F"/>
    <w:rsid w:val="006666E4"/>
    <w:rsid w:val="0066777D"/>
    <w:rsid w:val="00671030"/>
    <w:rsid w:val="006719F6"/>
    <w:rsid w:val="00672B6B"/>
    <w:rsid w:val="00672EE6"/>
    <w:rsid w:val="0067548C"/>
    <w:rsid w:val="00675B2D"/>
    <w:rsid w:val="00675C8F"/>
    <w:rsid w:val="00675C92"/>
    <w:rsid w:val="00675CBD"/>
    <w:rsid w:val="0067797C"/>
    <w:rsid w:val="00680266"/>
    <w:rsid w:val="0068069B"/>
    <w:rsid w:val="0068106A"/>
    <w:rsid w:val="0068215E"/>
    <w:rsid w:val="00683FA3"/>
    <w:rsid w:val="00684886"/>
    <w:rsid w:val="006865BC"/>
    <w:rsid w:val="00687149"/>
    <w:rsid w:val="006906CA"/>
    <w:rsid w:val="00690FFC"/>
    <w:rsid w:val="00692032"/>
    <w:rsid w:val="00693441"/>
    <w:rsid w:val="006934FD"/>
    <w:rsid w:val="0069369C"/>
    <w:rsid w:val="00693F32"/>
    <w:rsid w:val="00694F0F"/>
    <w:rsid w:val="00695810"/>
    <w:rsid w:val="00695984"/>
    <w:rsid w:val="00697487"/>
    <w:rsid w:val="00697FB7"/>
    <w:rsid w:val="006A04EC"/>
    <w:rsid w:val="006A1A49"/>
    <w:rsid w:val="006A435A"/>
    <w:rsid w:val="006A4B24"/>
    <w:rsid w:val="006A5F94"/>
    <w:rsid w:val="006A6B2B"/>
    <w:rsid w:val="006A700F"/>
    <w:rsid w:val="006B1477"/>
    <w:rsid w:val="006B1F47"/>
    <w:rsid w:val="006B293A"/>
    <w:rsid w:val="006B29FF"/>
    <w:rsid w:val="006B2CB3"/>
    <w:rsid w:val="006B335B"/>
    <w:rsid w:val="006B48CA"/>
    <w:rsid w:val="006B5A6A"/>
    <w:rsid w:val="006B679A"/>
    <w:rsid w:val="006B6BC0"/>
    <w:rsid w:val="006C1E79"/>
    <w:rsid w:val="006C1F5E"/>
    <w:rsid w:val="006C23A0"/>
    <w:rsid w:val="006C2548"/>
    <w:rsid w:val="006C3C6F"/>
    <w:rsid w:val="006C64BB"/>
    <w:rsid w:val="006C73E6"/>
    <w:rsid w:val="006C7CA7"/>
    <w:rsid w:val="006C7DC2"/>
    <w:rsid w:val="006C7EB8"/>
    <w:rsid w:val="006D0940"/>
    <w:rsid w:val="006D14A3"/>
    <w:rsid w:val="006D1753"/>
    <w:rsid w:val="006D3974"/>
    <w:rsid w:val="006D4ABE"/>
    <w:rsid w:val="006D5F0D"/>
    <w:rsid w:val="006D6A52"/>
    <w:rsid w:val="006E009C"/>
    <w:rsid w:val="006E0A94"/>
    <w:rsid w:val="006E0CDA"/>
    <w:rsid w:val="006E1B60"/>
    <w:rsid w:val="006E1EC6"/>
    <w:rsid w:val="006E224C"/>
    <w:rsid w:val="006E2B0C"/>
    <w:rsid w:val="006E3636"/>
    <w:rsid w:val="006E393F"/>
    <w:rsid w:val="006E4567"/>
    <w:rsid w:val="006E5D2F"/>
    <w:rsid w:val="006E6248"/>
    <w:rsid w:val="006E6639"/>
    <w:rsid w:val="006E7812"/>
    <w:rsid w:val="006F0522"/>
    <w:rsid w:val="006F06C7"/>
    <w:rsid w:val="006F0804"/>
    <w:rsid w:val="006F097A"/>
    <w:rsid w:val="006F0FDF"/>
    <w:rsid w:val="006F10DF"/>
    <w:rsid w:val="006F1CC6"/>
    <w:rsid w:val="006F25B5"/>
    <w:rsid w:val="006F279B"/>
    <w:rsid w:val="006F2CEF"/>
    <w:rsid w:val="006F3DB0"/>
    <w:rsid w:val="006F3F64"/>
    <w:rsid w:val="006F5A18"/>
    <w:rsid w:val="006F65BB"/>
    <w:rsid w:val="006F7486"/>
    <w:rsid w:val="006F770A"/>
    <w:rsid w:val="006F7D5C"/>
    <w:rsid w:val="007009FD"/>
    <w:rsid w:val="00700DCC"/>
    <w:rsid w:val="00701817"/>
    <w:rsid w:val="00702BFD"/>
    <w:rsid w:val="00702C3D"/>
    <w:rsid w:val="00703037"/>
    <w:rsid w:val="00703D50"/>
    <w:rsid w:val="00704B8A"/>
    <w:rsid w:val="00704D9E"/>
    <w:rsid w:val="0070513C"/>
    <w:rsid w:val="00705CC1"/>
    <w:rsid w:val="00711179"/>
    <w:rsid w:val="007111BA"/>
    <w:rsid w:val="0071132A"/>
    <w:rsid w:val="0071210E"/>
    <w:rsid w:val="00712199"/>
    <w:rsid w:val="00712920"/>
    <w:rsid w:val="00712E53"/>
    <w:rsid w:val="00713908"/>
    <w:rsid w:val="00714123"/>
    <w:rsid w:val="0071418F"/>
    <w:rsid w:val="00720C0A"/>
    <w:rsid w:val="00720C75"/>
    <w:rsid w:val="00720F3C"/>
    <w:rsid w:val="00720F76"/>
    <w:rsid w:val="007218F0"/>
    <w:rsid w:val="007228E4"/>
    <w:rsid w:val="00722A82"/>
    <w:rsid w:val="00723AB0"/>
    <w:rsid w:val="00723CCB"/>
    <w:rsid w:val="0072423E"/>
    <w:rsid w:val="00724F1E"/>
    <w:rsid w:val="0072651E"/>
    <w:rsid w:val="00727925"/>
    <w:rsid w:val="00727D1C"/>
    <w:rsid w:val="00732629"/>
    <w:rsid w:val="00732649"/>
    <w:rsid w:val="00732892"/>
    <w:rsid w:val="00732A4B"/>
    <w:rsid w:val="007341FF"/>
    <w:rsid w:val="007342A8"/>
    <w:rsid w:val="0073496C"/>
    <w:rsid w:val="00734B86"/>
    <w:rsid w:val="00734E4F"/>
    <w:rsid w:val="0073591A"/>
    <w:rsid w:val="0073607C"/>
    <w:rsid w:val="00736589"/>
    <w:rsid w:val="0073681E"/>
    <w:rsid w:val="00736824"/>
    <w:rsid w:val="0074070A"/>
    <w:rsid w:val="00741801"/>
    <w:rsid w:val="00741A81"/>
    <w:rsid w:val="00741AEA"/>
    <w:rsid w:val="00742E19"/>
    <w:rsid w:val="007434D7"/>
    <w:rsid w:val="00743C17"/>
    <w:rsid w:val="00743D00"/>
    <w:rsid w:val="007448B1"/>
    <w:rsid w:val="00744DC8"/>
    <w:rsid w:val="00745076"/>
    <w:rsid w:val="0074509D"/>
    <w:rsid w:val="00745231"/>
    <w:rsid w:val="007456B6"/>
    <w:rsid w:val="007460B6"/>
    <w:rsid w:val="007460CF"/>
    <w:rsid w:val="00746CD5"/>
    <w:rsid w:val="007470BD"/>
    <w:rsid w:val="0074765C"/>
    <w:rsid w:val="0075009C"/>
    <w:rsid w:val="00750E34"/>
    <w:rsid w:val="00751753"/>
    <w:rsid w:val="00751807"/>
    <w:rsid w:val="0075290A"/>
    <w:rsid w:val="00752CCE"/>
    <w:rsid w:val="00752F68"/>
    <w:rsid w:val="00754640"/>
    <w:rsid w:val="00754793"/>
    <w:rsid w:val="00756278"/>
    <w:rsid w:val="00756718"/>
    <w:rsid w:val="00756946"/>
    <w:rsid w:val="00757141"/>
    <w:rsid w:val="00757667"/>
    <w:rsid w:val="00757864"/>
    <w:rsid w:val="00757B58"/>
    <w:rsid w:val="007609B8"/>
    <w:rsid w:val="00761D5A"/>
    <w:rsid w:val="0076259A"/>
    <w:rsid w:val="00762A7C"/>
    <w:rsid w:val="0076378A"/>
    <w:rsid w:val="00763B18"/>
    <w:rsid w:val="00763D60"/>
    <w:rsid w:val="007657F8"/>
    <w:rsid w:val="0077014E"/>
    <w:rsid w:val="00770B50"/>
    <w:rsid w:val="00770F4D"/>
    <w:rsid w:val="007714C9"/>
    <w:rsid w:val="0077158C"/>
    <w:rsid w:val="00771E05"/>
    <w:rsid w:val="00773092"/>
    <w:rsid w:val="007732D8"/>
    <w:rsid w:val="00773893"/>
    <w:rsid w:val="0077398F"/>
    <w:rsid w:val="00775310"/>
    <w:rsid w:val="00777D3A"/>
    <w:rsid w:val="00780518"/>
    <w:rsid w:val="00782640"/>
    <w:rsid w:val="00782D41"/>
    <w:rsid w:val="007846F5"/>
    <w:rsid w:val="0078489D"/>
    <w:rsid w:val="00784A1E"/>
    <w:rsid w:val="007852A6"/>
    <w:rsid w:val="007858D1"/>
    <w:rsid w:val="0078600A"/>
    <w:rsid w:val="00787550"/>
    <w:rsid w:val="00787901"/>
    <w:rsid w:val="00790F6C"/>
    <w:rsid w:val="007929C4"/>
    <w:rsid w:val="007929FD"/>
    <w:rsid w:val="0079520A"/>
    <w:rsid w:val="0079575D"/>
    <w:rsid w:val="00796528"/>
    <w:rsid w:val="007971E9"/>
    <w:rsid w:val="00797514"/>
    <w:rsid w:val="00797679"/>
    <w:rsid w:val="00797694"/>
    <w:rsid w:val="007A0288"/>
    <w:rsid w:val="007A0B73"/>
    <w:rsid w:val="007A0FB0"/>
    <w:rsid w:val="007A3D2F"/>
    <w:rsid w:val="007A6704"/>
    <w:rsid w:val="007B0601"/>
    <w:rsid w:val="007B0DCD"/>
    <w:rsid w:val="007B0E96"/>
    <w:rsid w:val="007B13A5"/>
    <w:rsid w:val="007B1B12"/>
    <w:rsid w:val="007B233C"/>
    <w:rsid w:val="007B2519"/>
    <w:rsid w:val="007B2F04"/>
    <w:rsid w:val="007B4E81"/>
    <w:rsid w:val="007B5AC9"/>
    <w:rsid w:val="007C0066"/>
    <w:rsid w:val="007C025F"/>
    <w:rsid w:val="007C1AA1"/>
    <w:rsid w:val="007C1B18"/>
    <w:rsid w:val="007C284C"/>
    <w:rsid w:val="007C5160"/>
    <w:rsid w:val="007C5A0D"/>
    <w:rsid w:val="007C7126"/>
    <w:rsid w:val="007C7E35"/>
    <w:rsid w:val="007D0744"/>
    <w:rsid w:val="007D242D"/>
    <w:rsid w:val="007D49D8"/>
    <w:rsid w:val="007D55A5"/>
    <w:rsid w:val="007D6344"/>
    <w:rsid w:val="007D6A7A"/>
    <w:rsid w:val="007D7D5D"/>
    <w:rsid w:val="007E090F"/>
    <w:rsid w:val="007E1FF3"/>
    <w:rsid w:val="007E23B9"/>
    <w:rsid w:val="007E3A96"/>
    <w:rsid w:val="007E4515"/>
    <w:rsid w:val="007E48E1"/>
    <w:rsid w:val="007E4F96"/>
    <w:rsid w:val="007E53A3"/>
    <w:rsid w:val="007E56C6"/>
    <w:rsid w:val="007E5969"/>
    <w:rsid w:val="007E6C5E"/>
    <w:rsid w:val="007E6EB2"/>
    <w:rsid w:val="007E7023"/>
    <w:rsid w:val="007E707C"/>
    <w:rsid w:val="007F19C7"/>
    <w:rsid w:val="007F2C6E"/>
    <w:rsid w:val="007F41DE"/>
    <w:rsid w:val="007F4D21"/>
    <w:rsid w:val="008017DE"/>
    <w:rsid w:val="00801A3E"/>
    <w:rsid w:val="0080207A"/>
    <w:rsid w:val="008027BC"/>
    <w:rsid w:val="00802A6B"/>
    <w:rsid w:val="00802BE7"/>
    <w:rsid w:val="00803DFC"/>
    <w:rsid w:val="008048E5"/>
    <w:rsid w:val="008057FC"/>
    <w:rsid w:val="00805FBF"/>
    <w:rsid w:val="00806699"/>
    <w:rsid w:val="00806B29"/>
    <w:rsid w:val="008075DE"/>
    <w:rsid w:val="00810AB3"/>
    <w:rsid w:val="008121FD"/>
    <w:rsid w:val="00812B0D"/>
    <w:rsid w:val="00813079"/>
    <w:rsid w:val="00813830"/>
    <w:rsid w:val="008139A9"/>
    <w:rsid w:val="008142E8"/>
    <w:rsid w:val="008148EF"/>
    <w:rsid w:val="00815965"/>
    <w:rsid w:val="00815A64"/>
    <w:rsid w:val="008161D9"/>
    <w:rsid w:val="0081771C"/>
    <w:rsid w:val="00817B5C"/>
    <w:rsid w:val="00817E1C"/>
    <w:rsid w:val="00822202"/>
    <w:rsid w:val="00822204"/>
    <w:rsid w:val="00822299"/>
    <w:rsid w:val="00823B1A"/>
    <w:rsid w:val="00823F25"/>
    <w:rsid w:val="00824D66"/>
    <w:rsid w:val="00825136"/>
    <w:rsid w:val="0082626D"/>
    <w:rsid w:val="0082700E"/>
    <w:rsid w:val="00830200"/>
    <w:rsid w:val="008307B0"/>
    <w:rsid w:val="00830FEC"/>
    <w:rsid w:val="00831060"/>
    <w:rsid w:val="0083116B"/>
    <w:rsid w:val="008315E1"/>
    <w:rsid w:val="008320F6"/>
    <w:rsid w:val="00832717"/>
    <w:rsid w:val="00832A0C"/>
    <w:rsid w:val="00832FE8"/>
    <w:rsid w:val="008347A7"/>
    <w:rsid w:val="0083598E"/>
    <w:rsid w:val="00835B47"/>
    <w:rsid w:val="00837288"/>
    <w:rsid w:val="00837EAE"/>
    <w:rsid w:val="00840171"/>
    <w:rsid w:val="008419D2"/>
    <w:rsid w:val="00846D1F"/>
    <w:rsid w:val="0084722D"/>
    <w:rsid w:val="00847EBE"/>
    <w:rsid w:val="0085276E"/>
    <w:rsid w:val="00854AEB"/>
    <w:rsid w:val="008555D6"/>
    <w:rsid w:val="00855A2E"/>
    <w:rsid w:val="008562C2"/>
    <w:rsid w:val="00856474"/>
    <w:rsid w:val="00856668"/>
    <w:rsid w:val="008579F8"/>
    <w:rsid w:val="008605E3"/>
    <w:rsid w:val="00861C75"/>
    <w:rsid w:val="00862025"/>
    <w:rsid w:val="0086241A"/>
    <w:rsid w:val="008628AB"/>
    <w:rsid w:val="00863189"/>
    <w:rsid w:val="008650CA"/>
    <w:rsid w:val="0086675A"/>
    <w:rsid w:val="00867BD1"/>
    <w:rsid w:val="00867EBE"/>
    <w:rsid w:val="0087190D"/>
    <w:rsid w:val="00871A07"/>
    <w:rsid w:val="00871FB5"/>
    <w:rsid w:val="0087274E"/>
    <w:rsid w:val="00873464"/>
    <w:rsid w:val="008739D1"/>
    <w:rsid w:val="00873B03"/>
    <w:rsid w:val="008743FC"/>
    <w:rsid w:val="00874A7F"/>
    <w:rsid w:val="008751C3"/>
    <w:rsid w:val="00877063"/>
    <w:rsid w:val="008777FD"/>
    <w:rsid w:val="00877833"/>
    <w:rsid w:val="00877DDE"/>
    <w:rsid w:val="00877DE5"/>
    <w:rsid w:val="0088038D"/>
    <w:rsid w:val="00881129"/>
    <w:rsid w:val="0088203B"/>
    <w:rsid w:val="008828B2"/>
    <w:rsid w:val="00882BCE"/>
    <w:rsid w:val="00883848"/>
    <w:rsid w:val="00883B88"/>
    <w:rsid w:val="008845A8"/>
    <w:rsid w:val="008858B5"/>
    <w:rsid w:val="00885E94"/>
    <w:rsid w:val="008870C5"/>
    <w:rsid w:val="00887757"/>
    <w:rsid w:val="00887BD7"/>
    <w:rsid w:val="00890511"/>
    <w:rsid w:val="00890F96"/>
    <w:rsid w:val="0089139B"/>
    <w:rsid w:val="00892C07"/>
    <w:rsid w:val="008930CA"/>
    <w:rsid w:val="00893789"/>
    <w:rsid w:val="008950CC"/>
    <w:rsid w:val="00895250"/>
    <w:rsid w:val="00896935"/>
    <w:rsid w:val="008973A6"/>
    <w:rsid w:val="00897433"/>
    <w:rsid w:val="008976F9"/>
    <w:rsid w:val="00897803"/>
    <w:rsid w:val="00897A28"/>
    <w:rsid w:val="008A017C"/>
    <w:rsid w:val="008A21AD"/>
    <w:rsid w:val="008A2ACC"/>
    <w:rsid w:val="008A3488"/>
    <w:rsid w:val="008A4155"/>
    <w:rsid w:val="008A59B6"/>
    <w:rsid w:val="008A59C1"/>
    <w:rsid w:val="008A77C9"/>
    <w:rsid w:val="008B1E55"/>
    <w:rsid w:val="008B3892"/>
    <w:rsid w:val="008B3DE8"/>
    <w:rsid w:val="008B4537"/>
    <w:rsid w:val="008B494B"/>
    <w:rsid w:val="008B604C"/>
    <w:rsid w:val="008B617A"/>
    <w:rsid w:val="008B6564"/>
    <w:rsid w:val="008B69A3"/>
    <w:rsid w:val="008C05B2"/>
    <w:rsid w:val="008C0CED"/>
    <w:rsid w:val="008C124D"/>
    <w:rsid w:val="008C1EE8"/>
    <w:rsid w:val="008C2107"/>
    <w:rsid w:val="008C327F"/>
    <w:rsid w:val="008C35EB"/>
    <w:rsid w:val="008C413D"/>
    <w:rsid w:val="008C4628"/>
    <w:rsid w:val="008C4742"/>
    <w:rsid w:val="008C52E4"/>
    <w:rsid w:val="008C64E0"/>
    <w:rsid w:val="008C6D9A"/>
    <w:rsid w:val="008C759A"/>
    <w:rsid w:val="008D0DA9"/>
    <w:rsid w:val="008D1A7B"/>
    <w:rsid w:val="008D1CF1"/>
    <w:rsid w:val="008D2C1F"/>
    <w:rsid w:val="008D47F2"/>
    <w:rsid w:val="008D5671"/>
    <w:rsid w:val="008D65AF"/>
    <w:rsid w:val="008D6AA8"/>
    <w:rsid w:val="008E02EA"/>
    <w:rsid w:val="008E064A"/>
    <w:rsid w:val="008E1D6C"/>
    <w:rsid w:val="008E3FE4"/>
    <w:rsid w:val="008E41EF"/>
    <w:rsid w:val="008E7782"/>
    <w:rsid w:val="008F02AB"/>
    <w:rsid w:val="008F14A1"/>
    <w:rsid w:val="008F17DA"/>
    <w:rsid w:val="008F1A7D"/>
    <w:rsid w:val="008F1EEB"/>
    <w:rsid w:val="008F2076"/>
    <w:rsid w:val="008F36B3"/>
    <w:rsid w:val="008F3DF0"/>
    <w:rsid w:val="008F468B"/>
    <w:rsid w:val="008F5BD6"/>
    <w:rsid w:val="008F63C6"/>
    <w:rsid w:val="008F6574"/>
    <w:rsid w:val="008F69DF"/>
    <w:rsid w:val="008F7238"/>
    <w:rsid w:val="008F76F9"/>
    <w:rsid w:val="008F7718"/>
    <w:rsid w:val="008F795D"/>
    <w:rsid w:val="00901235"/>
    <w:rsid w:val="009013A1"/>
    <w:rsid w:val="009023B0"/>
    <w:rsid w:val="00902D11"/>
    <w:rsid w:val="00903A90"/>
    <w:rsid w:val="00904335"/>
    <w:rsid w:val="0090453F"/>
    <w:rsid w:val="009046C3"/>
    <w:rsid w:val="00905A0A"/>
    <w:rsid w:val="0090657D"/>
    <w:rsid w:val="00910103"/>
    <w:rsid w:val="00912367"/>
    <w:rsid w:val="00913648"/>
    <w:rsid w:val="00916735"/>
    <w:rsid w:val="00916B0D"/>
    <w:rsid w:val="00917289"/>
    <w:rsid w:val="00917E0A"/>
    <w:rsid w:val="00920535"/>
    <w:rsid w:val="009209DE"/>
    <w:rsid w:val="00920B54"/>
    <w:rsid w:val="0092194C"/>
    <w:rsid w:val="00923E8F"/>
    <w:rsid w:val="0092419B"/>
    <w:rsid w:val="00924387"/>
    <w:rsid w:val="0092467B"/>
    <w:rsid w:val="00925AA6"/>
    <w:rsid w:val="00925EE6"/>
    <w:rsid w:val="00926A03"/>
    <w:rsid w:val="009276A8"/>
    <w:rsid w:val="00927AAC"/>
    <w:rsid w:val="00931217"/>
    <w:rsid w:val="009314ED"/>
    <w:rsid w:val="009317F5"/>
    <w:rsid w:val="00934B2B"/>
    <w:rsid w:val="00934C26"/>
    <w:rsid w:val="00934ECC"/>
    <w:rsid w:val="009350D1"/>
    <w:rsid w:val="009355B5"/>
    <w:rsid w:val="0093597E"/>
    <w:rsid w:val="00935AB4"/>
    <w:rsid w:val="00935C6E"/>
    <w:rsid w:val="00935DF9"/>
    <w:rsid w:val="00936211"/>
    <w:rsid w:val="00936571"/>
    <w:rsid w:val="0093718D"/>
    <w:rsid w:val="00937E5D"/>
    <w:rsid w:val="0094154E"/>
    <w:rsid w:val="00943221"/>
    <w:rsid w:val="00943B33"/>
    <w:rsid w:val="0094505D"/>
    <w:rsid w:val="00945B78"/>
    <w:rsid w:val="009508CF"/>
    <w:rsid w:val="00951084"/>
    <w:rsid w:val="00951706"/>
    <w:rsid w:val="00952363"/>
    <w:rsid w:val="00952679"/>
    <w:rsid w:val="00952E63"/>
    <w:rsid w:val="0095323D"/>
    <w:rsid w:val="009534CF"/>
    <w:rsid w:val="0095545A"/>
    <w:rsid w:val="00955BEB"/>
    <w:rsid w:val="0095618A"/>
    <w:rsid w:val="009574CC"/>
    <w:rsid w:val="00957553"/>
    <w:rsid w:val="009579C5"/>
    <w:rsid w:val="00957FD9"/>
    <w:rsid w:val="00961AE5"/>
    <w:rsid w:val="00962200"/>
    <w:rsid w:val="00962A14"/>
    <w:rsid w:val="00962D3D"/>
    <w:rsid w:val="00963114"/>
    <w:rsid w:val="009636BD"/>
    <w:rsid w:val="009642AF"/>
    <w:rsid w:val="00964BC6"/>
    <w:rsid w:val="00964DB7"/>
    <w:rsid w:val="00964DF7"/>
    <w:rsid w:val="00966101"/>
    <w:rsid w:val="009662C0"/>
    <w:rsid w:val="00967D90"/>
    <w:rsid w:val="0097021C"/>
    <w:rsid w:val="009726C1"/>
    <w:rsid w:val="009729AE"/>
    <w:rsid w:val="00973977"/>
    <w:rsid w:val="00973F9C"/>
    <w:rsid w:val="00974AA1"/>
    <w:rsid w:val="009762A3"/>
    <w:rsid w:val="00976610"/>
    <w:rsid w:val="00976902"/>
    <w:rsid w:val="009815AD"/>
    <w:rsid w:val="00981E71"/>
    <w:rsid w:val="0098669C"/>
    <w:rsid w:val="00986A1C"/>
    <w:rsid w:val="009877C5"/>
    <w:rsid w:val="00987A68"/>
    <w:rsid w:val="00990903"/>
    <w:rsid w:val="00991143"/>
    <w:rsid w:val="00991E8C"/>
    <w:rsid w:val="00992A68"/>
    <w:rsid w:val="009934D3"/>
    <w:rsid w:val="00993BDE"/>
    <w:rsid w:val="00993D03"/>
    <w:rsid w:val="00996936"/>
    <w:rsid w:val="00997350"/>
    <w:rsid w:val="009978EF"/>
    <w:rsid w:val="009A0580"/>
    <w:rsid w:val="009A1C34"/>
    <w:rsid w:val="009A23F3"/>
    <w:rsid w:val="009A3D07"/>
    <w:rsid w:val="009A3F48"/>
    <w:rsid w:val="009A41B6"/>
    <w:rsid w:val="009A4279"/>
    <w:rsid w:val="009A429F"/>
    <w:rsid w:val="009A5081"/>
    <w:rsid w:val="009A5275"/>
    <w:rsid w:val="009A54B6"/>
    <w:rsid w:val="009A5D9F"/>
    <w:rsid w:val="009A6BD5"/>
    <w:rsid w:val="009A7296"/>
    <w:rsid w:val="009A7804"/>
    <w:rsid w:val="009B038E"/>
    <w:rsid w:val="009B1427"/>
    <w:rsid w:val="009B33B9"/>
    <w:rsid w:val="009B39B8"/>
    <w:rsid w:val="009B5189"/>
    <w:rsid w:val="009B5E0A"/>
    <w:rsid w:val="009B6820"/>
    <w:rsid w:val="009B727E"/>
    <w:rsid w:val="009C06E3"/>
    <w:rsid w:val="009C0AED"/>
    <w:rsid w:val="009C168A"/>
    <w:rsid w:val="009C282E"/>
    <w:rsid w:val="009C28D8"/>
    <w:rsid w:val="009C2DC1"/>
    <w:rsid w:val="009C343A"/>
    <w:rsid w:val="009C37D2"/>
    <w:rsid w:val="009C46F8"/>
    <w:rsid w:val="009C696C"/>
    <w:rsid w:val="009C6B41"/>
    <w:rsid w:val="009C70EA"/>
    <w:rsid w:val="009C77DD"/>
    <w:rsid w:val="009D00BB"/>
    <w:rsid w:val="009D194B"/>
    <w:rsid w:val="009D1BF6"/>
    <w:rsid w:val="009D1EBF"/>
    <w:rsid w:val="009D29E2"/>
    <w:rsid w:val="009D3B58"/>
    <w:rsid w:val="009D64F7"/>
    <w:rsid w:val="009D73B0"/>
    <w:rsid w:val="009D73E8"/>
    <w:rsid w:val="009D7704"/>
    <w:rsid w:val="009D787B"/>
    <w:rsid w:val="009E10CC"/>
    <w:rsid w:val="009E234A"/>
    <w:rsid w:val="009E3C74"/>
    <w:rsid w:val="009E5022"/>
    <w:rsid w:val="009E56BB"/>
    <w:rsid w:val="009E6468"/>
    <w:rsid w:val="009F072D"/>
    <w:rsid w:val="009F095F"/>
    <w:rsid w:val="009F1939"/>
    <w:rsid w:val="009F2BA9"/>
    <w:rsid w:val="009F3E58"/>
    <w:rsid w:val="009F4CF1"/>
    <w:rsid w:val="009F4D9A"/>
    <w:rsid w:val="009F4ED5"/>
    <w:rsid w:val="009F56B4"/>
    <w:rsid w:val="009F621A"/>
    <w:rsid w:val="009F6B7C"/>
    <w:rsid w:val="009F731F"/>
    <w:rsid w:val="009F77FD"/>
    <w:rsid w:val="00A00B3B"/>
    <w:rsid w:val="00A01310"/>
    <w:rsid w:val="00A02DED"/>
    <w:rsid w:val="00A032FE"/>
    <w:rsid w:val="00A038E7"/>
    <w:rsid w:val="00A0390D"/>
    <w:rsid w:val="00A03C67"/>
    <w:rsid w:val="00A055F0"/>
    <w:rsid w:val="00A057A9"/>
    <w:rsid w:val="00A05FBD"/>
    <w:rsid w:val="00A06CEB"/>
    <w:rsid w:val="00A07C39"/>
    <w:rsid w:val="00A10A15"/>
    <w:rsid w:val="00A119E6"/>
    <w:rsid w:val="00A129CD"/>
    <w:rsid w:val="00A12B18"/>
    <w:rsid w:val="00A13BEE"/>
    <w:rsid w:val="00A152F3"/>
    <w:rsid w:val="00A1566B"/>
    <w:rsid w:val="00A1699B"/>
    <w:rsid w:val="00A20363"/>
    <w:rsid w:val="00A2042A"/>
    <w:rsid w:val="00A20C73"/>
    <w:rsid w:val="00A22C95"/>
    <w:rsid w:val="00A234F1"/>
    <w:rsid w:val="00A23B55"/>
    <w:rsid w:val="00A25A7C"/>
    <w:rsid w:val="00A25C55"/>
    <w:rsid w:val="00A260ED"/>
    <w:rsid w:val="00A27174"/>
    <w:rsid w:val="00A277FB"/>
    <w:rsid w:val="00A279D1"/>
    <w:rsid w:val="00A27ECC"/>
    <w:rsid w:val="00A30B39"/>
    <w:rsid w:val="00A31586"/>
    <w:rsid w:val="00A32268"/>
    <w:rsid w:val="00A333D5"/>
    <w:rsid w:val="00A33A5C"/>
    <w:rsid w:val="00A34922"/>
    <w:rsid w:val="00A34B20"/>
    <w:rsid w:val="00A3543C"/>
    <w:rsid w:val="00A35A8A"/>
    <w:rsid w:val="00A36384"/>
    <w:rsid w:val="00A36C5C"/>
    <w:rsid w:val="00A36FD7"/>
    <w:rsid w:val="00A37471"/>
    <w:rsid w:val="00A37655"/>
    <w:rsid w:val="00A407E3"/>
    <w:rsid w:val="00A40E10"/>
    <w:rsid w:val="00A40F72"/>
    <w:rsid w:val="00A4175C"/>
    <w:rsid w:val="00A427DA"/>
    <w:rsid w:val="00A42AFC"/>
    <w:rsid w:val="00A4430C"/>
    <w:rsid w:val="00A457A2"/>
    <w:rsid w:val="00A45879"/>
    <w:rsid w:val="00A46035"/>
    <w:rsid w:val="00A503DA"/>
    <w:rsid w:val="00A514A0"/>
    <w:rsid w:val="00A5161E"/>
    <w:rsid w:val="00A524E9"/>
    <w:rsid w:val="00A54194"/>
    <w:rsid w:val="00A54CBB"/>
    <w:rsid w:val="00A55701"/>
    <w:rsid w:val="00A575A9"/>
    <w:rsid w:val="00A57CB0"/>
    <w:rsid w:val="00A6007B"/>
    <w:rsid w:val="00A6013F"/>
    <w:rsid w:val="00A605DB"/>
    <w:rsid w:val="00A610E6"/>
    <w:rsid w:val="00A620AF"/>
    <w:rsid w:val="00A6252A"/>
    <w:rsid w:val="00A64A3E"/>
    <w:rsid w:val="00A6618D"/>
    <w:rsid w:val="00A66BDF"/>
    <w:rsid w:val="00A70ABF"/>
    <w:rsid w:val="00A72917"/>
    <w:rsid w:val="00A73048"/>
    <w:rsid w:val="00A734AA"/>
    <w:rsid w:val="00A734D1"/>
    <w:rsid w:val="00A7419C"/>
    <w:rsid w:val="00A74712"/>
    <w:rsid w:val="00A749A1"/>
    <w:rsid w:val="00A75D30"/>
    <w:rsid w:val="00A76D75"/>
    <w:rsid w:val="00A8328B"/>
    <w:rsid w:val="00A83A0D"/>
    <w:rsid w:val="00A84350"/>
    <w:rsid w:val="00A849AC"/>
    <w:rsid w:val="00A85251"/>
    <w:rsid w:val="00A85A21"/>
    <w:rsid w:val="00A860DC"/>
    <w:rsid w:val="00A86D6F"/>
    <w:rsid w:val="00A87E6D"/>
    <w:rsid w:val="00A90782"/>
    <w:rsid w:val="00A94424"/>
    <w:rsid w:val="00A94E64"/>
    <w:rsid w:val="00A9558F"/>
    <w:rsid w:val="00A959BD"/>
    <w:rsid w:val="00A95C37"/>
    <w:rsid w:val="00A95D12"/>
    <w:rsid w:val="00A969A7"/>
    <w:rsid w:val="00A9769B"/>
    <w:rsid w:val="00AA070F"/>
    <w:rsid w:val="00AA0BC2"/>
    <w:rsid w:val="00AA2688"/>
    <w:rsid w:val="00AA29AB"/>
    <w:rsid w:val="00AA354C"/>
    <w:rsid w:val="00AA391F"/>
    <w:rsid w:val="00AA458D"/>
    <w:rsid w:val="00AA64AF"/>
    <w:rsid w:val="00AA6A06"/>
    <w:rsid w:val="00AA6AEC"/>
    <w:rsid w:val="00AA70E8"/>
    <w:rsid w:val="00AB0D4B"/>
    <w:rsid w:val="00AB176E"/>
    <w:rsid w:val="00AB1AD7"/>
    <w:rsid w:val="00AB1D15"/>
    <w:rsid w:val="00AB2F5E"/>
    <w:rsid w:val="00AB3614"/>
    <w:rsid w:val="00AB42B8"/>
    <w:rsid w:val="00AB64F7"/>
    <w:rsid w:val="00AB7132"/>
    <w:rsid w:val="00AB71B8"/>
    <w:rsid w:val="00AC1646"/>
    <w:rsid w:val="00AC1A1C"/>
    <w:rsid w:val="00AC4129"/>
    <w:rsid w:val="00AC4A70"/>
    <w:rsid w:val="00AC4B9A"/>
    <w:rsid w:val="00AC5061"/>
    <w:rsid w:val="00AC640E"/>
    <w:rsid w:val="00AC7459"/>
    <w:rsid w:val="00AC793F"/>
    <w:rsid w:val="00AD0982"/>
    <w:rsid w:val="00AD09B2"/>
    <w:rsid w:val="00AD0F9A"/>
    <w:rsid w:val="00AD13EB"/>
    <w:rsid w:val="00AD3376"/>
    <w:rsid w:val="00AD4DD0"/>
    <w:rsid w:val="00AD5C9A"/>
    <w:rsid w:val="00AD6A37"/>
    <w:rsid w:val="00AD6F18"/>
    <w:rsid w:val="00AD79BD"/>
    <w:rsid w:val="00AD7E4C"/>
    <w:rsid w:val="00AE09FD"/>
    <w:rsid w:val="00AE21B0"/>
    <w:rsid w:val="00AE22E1"/>
    <w:rsid w:val="00AE25A8"/>
    <w:rsid w:val="00AE399C"/>
    <w:rsid w:val="00AE4243"/>
    <w:rsid w:val="00AE4D5B"/>
    <w:rsid w:val="00AE4E63"/>
    <w:rsid w:val="00AE572B"/>
    <w:rsid w:val="00AE5A73"/>
    <w:rsid w:val="00AE6F2B"/>
    <w:rsid w:val="00AE7389"/>
    <w:rsid w:val="00AF06E1"/>
    <w:rsid w:val="00AF0BA5"/>
    <w:rsid w:val="00AF2168"/>
    <w:rsid w:val="00AF2A46"/>
    <w:rsid w:val="00AF3E06"/>
    <w:rsid w:val="00AF4500"/>
    <w:rsid w:val="00AF4B30"/>
    <w:rsid w:val="00AF5D48"/>
    <w:rsid w:val="00AF7EC1"/>
    <w:rsid w:val="00B00665"/>
    <w:rsid w:val="00B0251D"/>
    <w:rsid w:val="00B02A03"/>
    <w:rsid w:val="00B0310C"/>
    <w:rsid w:val="00B044EB"/>
    <w:rsid w:val="00B04CCC"/>
    <w:rsid w:val="00B07BBA"/>
    <w:rsid w:val="00B07C9F"/>
    <w:rsid w:val="00B10282"/>
    <w:rsid w:val="00B11350"/>
    <w:rsid w:val="00B11C33"/>
    <w:rsid w:val="00B12F97"/>
    <w:rsid w:val="00B13792"/>
    <w:rsid w:val="00B13C7D"/>
    <w:rsid w:val="00B13E5E"/>
    <w:rsid w:val="00B14DA8"/>
    <w:rsid w:val="00B15169"/>
    <w:rsid w:val="00B15675"/>
    <w:rsid w:val="00B17D46"/>
    <w:rsid w:val="00B21224"/>
    <w:rsid w:val="00B2192F"/>
    <w:rsid w:val="00B22C2C"/>
    <w:rsid w:val="00B22DCA"/>
    <w:rsid w:val="00B24F30"/>
    <w:rsid w:val="00B25FD3"/>
    <w:rsid w:val="00B26102"/>
    <w:rsid w:val="00B27366"/>
    <w:rsid w:val="00B27544"/>
    <w:rsid w:val="00B3192B"/>
    <w:rsid w:val="00B31DC1"/>
    <w:rsid w:val="00B31EBE"/>
    <w:rsid w:val="00B32084"/>
    <w:rsid w:val="00B33AC7"/>
    <w:rsid w:val="00B340F4"/>
    <w:rsid w:val="00B34762"/>
    <w:rsid w:val="00B34790"/>
    <w:rsid w:val="00B34D93"/>
    <w:rsid w:val="00B3516A"/>
    <w:rsid w:val="00B351DF"/>
    <w:rsid w:val="00B37525"/>
    <w:rsid w:val="00B379B1"/>
    <w:rsid w:val="00B37AE8"/>
    <w:rsid w:val="00B40218"/>
    <w:rsid w:val="00B404A2"/>
    <w:rsid w:val="00B41144"/>
    <w:rsid w:val="00B41456"/>
    <w:rsid w:val="00B45755"/>
    <w:rsid w:val="00B45935"/>
    <w:rsid w:val="00B46545"/>
    <w:rsid w:val="00B5130C"/>
    <w:rsid w:val="00B5277E"/>
    <w:rsid w:val="00B52853"/>
    <w:rsid w:val="00B52CD7"/>
    <w:rsid w:val="00B54646"/>
    <w:rsid w:val="00B55A88"/>
    <w:rsid w:val="00B563D5"/>
    <w:rsid w:val="00B575AF"/>
    <w:rsid w:val="00B604A7"/>
    <w:rsid w:val="00B631D9"/>
    <w:rsid w:val="00B6369B"/>
    <w:rsid w:val="00B648A3"/>
    <w:rsid w:val="00B64A87"/>
    <w:rsid w:val="00B656A7"/>
    <w:rsid w:val="00B662BA"/>
    <w:rsid w:val="00B667FF"/>
    <w:rsid w:val="00B66956"/>
    <w:rsid w:val="00B712B9"/>
    <w:rsid w:val="00B73216"/>
    <w:rsid w:val="00B7393C"/>
    <w:rsid w:val="00B73B71"/>
    <w:rsid w:val="00B75235"/>
    <w:rsid w:val="00B75DB0"/>
    <w:rsid w:val="00B76106"/>
    <w:rsid w:val="00B76130"/>
    <w:rsid w:val="00B76735"/>
    <w:rsid w:val="00B768BC"/>
    <w:rsid w:val="00B80682"/>
    <w:rsid w:val="00B825A4"/>
    <w:rsid w:val="00B82CE6"/>
    <w:rsid w:val="00B83442"/>
    <w:rsid w:val="00B83A10"/>
    <w:rsid w:val="00B85B68"/>
    <w:rsid w:val="00B90161"/>
    <w:rsid w:val="00B90D62"/>
    <w:rsid w:val="00B90E31"/>
    <w:rsid w:val="00B914AF"/>
    <w:rsid w:val="00B91A5B"/>
    <w:rsid w:val="00B92C1E"/>
    <w:rsid w:val="00B944D8"/>
    <w:rsid w:val="00B95AD5"/>
    <w:rsid w:val="00BA017E"/>
    <w:rsid w:val="00BA0390"/>
    <w:rsid w:val="00BA0421"/>
    <w:rsid w:val="00BA116E"/>
    <w:rsid w:val="00BA2071"/>
    <w:rsid w:val="00BA28B1"/>
    <w:rsid w:val="00BA348F"/>
    <w:rsid w:val="00BA3822"/>
    <w:rsid w:val="00BA412D"/>
    <w:rsid w:val="00BA4864"/>
    <w:rsid w:val="00BA530A"/>
    <w:rsid w:val="00BA5E78"/>
    <w:rsid w:val="00BA5F35"/>
    <w:rsid w:val="00BA65A4"/>
    <w:rsid w:val="00BA7A7C"/>
    <w:rsid w:val="00BB04A2"/>
    <w:rsid w:val="00BB134C"/>
    <w:rsid w:val="00BB1D8C"/>
    <w:rsid w:val="00BB3517"/>
    <w:rsid w:val="00BB4B71"/>
    <w:rsid w:val="00BB5246"/>
    <w:rsid w:val="00BB6795"/>
    <w:rsid w:val="00BB6BB4"/>
    <w:rsid w:val="00BC00F3"/>
    <w:rsid w:val="00BC03C1"/>
    <w:rsid w:val="00BC0D6F"/>
    <w:rsid w:val="00BC3CD2"/>
    <w:rsid w:val="00BC4EAE"/>
    <w:rsid w:val="00BC5C53"/>
    <w:rsid w:val="00BC5F40"/>
    <w:rsid w:val="00BC6AA4"/>
    <w:rsid w:val="00BC6B2F"/>
    <w:rsid w:val="00BC6F5B"/>
    <w:rsid w:val="00BC7A89"/>
    <w:rsid w:val="00BC7F41"/>
    <w:rsid w:val="00BD022B"/>
    <w:rsid w:val="00BD053F"/>
    <w:rsid w:val="00BD097D"/>
    <w:rsid w:val="00BD0D46"/>
    <w:rsid w:val="00BD1F93"/>
    <w:rsid w:val="00BD323D"/>
    <w:rsid w:val="00BD3A1A"/>
    <w:rsid w:val="00BD3B96"/>
    <w:rsid w:val="00BD6676"/>
    <w:rsid w:val="00BE0CCB"/>
    <w:rsid w:val="00BE1BE8"/>
    <w:rsid w:val="00BE2D90"/>
    <w:rsid w:val="00BE2EFA"/>
    <w:rsid w:val="00BE3254"/>
    <w:rsid w:val="00BE3E52"/>
    <w:rsid w:val="00BE4F71"/>
    <w:rsid w:val="00BE55EE"/>
    <w:rsid w:val="00BE5E64"/>
    <w:rsid w:val="00BE6364"/>
    <w:rsid w:val="00BE6ABF"/>
    <w:rsid w:val="00BE77E4"/>
    <w:rsid w:val="00BE7DF7"/>
    <w:rsid w:val="00BF190A"/>
    <w:rsid w:val="00BF4164"/>
    <w:rsid w:val="00BF4444"/>
    <w:rsid w:val="00BF468E"/>
    <w:rsid w:val="00BF6213"/>
    <w:rsid w:val="00BF688C"/>
    <w:rsid w:val="00C00794"/>
    <w:rsid w:val="00C00B58"/>
    <w:rsid w:val="00C00CCA"/>
    <w:rsid w:val="00C022B4"/>
    <w:rsid w:val="00C0316F"/>
    <w:rsid w:val="00C03371"/>
    <w:rsid w:val="00C04A0B"/>
    <w:rsid w:val="00C04E62"/>
    <w:rsid w:val="00C05040"/>
    <w:rsid w:val="00C057DE"/>
    <w:rsid w:val="00C05A26"/>
    <w:rsid w:val="00C063E9"/>
    <w:rsid w:val="00C068B6"/>
    <w:rsid w:val="00C06F54"/>
    <w:rsid w:val="00C074C5"/>
    <w:rsid w:val="00C14555"/>
    <w:rsid w:val="00C154BF"/>
    <w:rsid w:val="00C157DB"/>
    <w:rsid w:val="00C15E78"/>
    <w:rsid w:val="00C1639C"/>
    <w:rsid w:val="00C16886"/>
    <w:rsid w:val="00C17D97"/>
    <w:rsid w:val="00C2126D"/>
    <w:rsid w:val="00C216D7"/>
    <w:rsid w:val="00C223FF"/>
    <w:rsid w:val="00C22DDB"/>
    <w:rsid w:val="00C23254"/>
    <w:rsid w:val="00C23AF3"/>
    <w:rsid w:val="00C243A1"/>
    <w:rsid w:val="00C25236"/>
    <w:rsid w:val="00C253F0"/>
    <w:rsid w:val="00C266AB"/>
    <w:rsid w:val="00C3032B"/>
    <w:rsid w:val="00C304B9"/>
    <w:rsid w:val="00C31F62"/>
    <w:rsid w:val="00C333A8"/>
    <w:rsid w:val="00C34B79"/>
    <w:rsid w:val="00C354EC"/>
    <w:rsid w:val="00C35647"/>
    <w:rsid w:val="00C40166"/>
    <w:rsid w:val="00C40C17"/>
    <w:rsid w:val="00C42D94"/>
    <w:rsid w:val="00C43909"/>
    <w:rsid w:val="00C43A26"/>
    <w:rsid w:val="00C4460E"/>
    <w:rsid w:val="00C45260"/>
    <w:rsid w:val="00C45EEA"/>
    <w:rsid w:val="00C461E7"/>
    <w:rsid w:val="00C46212"/>
    <w:rsid w:val="00C46D73"/>
    <w:rsid w:val="00C516F7"/>
    <w:rsid w:val="00C51967"/>
    <w:rsid w:val="00C51D3C"/>
    <w:rsid w:val="00C53099"/>
    <w:rsid w:val="00C541A5"/>
    <w:rsid w:val="00C54463"/>
    <w:rsid w:val="00C5500F"/>
    <w:rsid w:val="00C56C7A"/>
    <w:rsid w:val="00C56E4D"/>
    <w:rsid w:val="00C56EC7"/>
    <w:rsid w:val="00C60E16"/>
    <w:rsid w:val="00C615EC"/>
    <w:rsid w:val="00C61AB1"/>
    <w:rsid w:val="00C61AF1"/>
    <w:rsid w:val="00C62FCD"/>
    <w:rsid w:val="00C63511"/>
    <w:rsid w:val="00C638F7"/>
    <w:rsid w:val="00C650D7"/>
    <w:rsid w:val="00C65453"/>
    <w:rsid w:val="00C65E15"/>
    <w:rsid w:val="00C700F5"/>
    <w:rsid w:val="00C70C3D"/>
    <w:rsid w:val="00C71173"/>
    <w:rsid w:val="00C74BC5"/>
    <w:rsid w:val="00C810B9"/>
    <w:rsid w:val="00C816B3"/>
    <w:rsid w:val="00C820C0"/>
    <w:rsid w:val="00C825B6"/>
    <w:rsid w:val="00C833D2"/>
    <w:rsid w:val="00C83DAF"/>
    <w:rsid w:val="00C84542"/>
    <w:rsid w:val="00C852AE"/>
    <w:rsid w:val="00C852C2"/>
    <w:rsid w:val="00C86051"/>
    <w:rsid w:val="00C86899"/>
    <w:rsid w:val="00C8695A"/>
    <w:rsid w:val="00C87484"/>
    <w:rsid w:val="00C90023"/>
    <w:rsid w:val="00C906E3"/>
    <w:rsid w:val="00C9161F"/>
    <w:rsid w:val="00C92CB6"/>
    <w:rsid w:val="00C95C68"/>
    <w:rsid w:val="00C95FC7"/>
    <w:rsid w:val="00C970EF"/>
    <w:rsid w:val="00C9726C"/>
    <w:rsid w:val="00C9747E"/>
    <w:rsid w:val="00CA02B1"/>
    <w:rsid w:val="00CA0C02"/>
    <w:rsid w:val="00CA1319"/>
    <w:rsid w:val="00CA1FC7"/>
    <w:rsid w:val="00CA212F"/>
    <w:rsid w:val="00CA37DB"/>
    <w:rsid w:val="00CA38A8"/>
    <w:rsid w:val="00CA3FED"/>
    <w:rsid w:val="00CA4C9F"/>
    <w:rsid w:val="00CA4D02"/>
    <w:rsid w:val="00CA50F9"/>
    <w:rsid w:val="00CA52AA"/>
    <w:rsid w:val="00CA539A"/>
    <w:rsid w:val="00CA5C48"/>
    <w:rsid w:val="00CA7ED4"/>
    <w:rsid w:val="00CB289D"/>
    <w:rsid w:val="00CB4C43"/>
    <w:rsid w:val="00CB67B0"/>
    <w:rsid w:val="00CB7500"/>
    <w:rsid w:val="00CC033A"/>
    <w:rsid w:val="00CC1214"/>
    <w:rsid w:val="00CC1821"/>
    <w:rsid w:val="00CC1E1B"/>
    <w:rsid w:val="00CC288D"/>
    <w:rsid w:val="00CC4151"/>
    <w:rsid w:val="00CC430E"/>
    <w:rsid w:val="00CC594C"/>
    <w:rsid w:val="00CC61B7"/>
    <w:rsid w:val="00CC71E9"/>
    <w:rsid w:val="00CC724F"/>
    <w:rsid w:val="00CC7642"/>
    <w:rsid w:val="00CD01C4"/>
    <w:rsid w:val="00CD0AF5"/>
    <w:rsid w:val="00CD180B"/>
    <w:rsid w:val="00CD1DB7"/>
    <w:rsid w:val="00CD33D1"/>
    <w:rsid w:val="00CD37A1"/>
    <w:rsid w:val="00CD38E5"/>
    <w:rsid w:val="00CD4013"/>
    <w:rsid w:val="00CE2143"/>
    <w:rsid w:val="00CE58B7"/>
    <w:rsid w:val="00CE6578"/>
    <w:rsid w:val="00CE76EB"/>
    <w:rsid w:val="00CF00DF"/>
    <w:rsid w:val="00CF0895"/>
    <w:rsid w:val="00CF0C17"/>
    <w:rsid w:val="00CF141B"/>
    <w:rsid w:val="00CF179D"/>
    <w:rsid w:val="00CF3415"/>
    <w:rsid w:val="00CF3DB9"/>
    <w:rsid w:val="00CF3F49"/>
    <w:rsid w:val="00CF420A"/>
    <w:rsid w:val="00CF4C83"/>
    <w:rsid w:val="00CF5350"/>
    <w:rsid w:val="00CF53DF"/>
    <w:rsid w:val="00CF5CD5"/>
    <w:rsid w:val="00CF70A0"/>
    <w:rsid w:val="00D011D1"/>
    <w:rsid w:val="00D0249B"/>
    <w:rsid w:val="00D028B8"/>
    <w:rsid w:val="00D0304A"/>
    <w:rsid w:val="00D030B5"/>
    <w:rsid w:val="00D04F3D"/>
    <w:rsid w:val="00D05B60"/>
    <w:rsid w:val="00D06139"/>
    <w:rsid w:val="00D07D8C"/>
    <w:rsid w:val="00D11285"/>
    <w:rsid w:val="00D123E0"/>
    <w:rsid w:val="00D12B6B"/>
    <w:rsid w:val="00D13301"/>
    <w:rsid w:val="00D136F3"/>
    <w:rsid w:val="00D13A66"/>
    <w:rsid w:val="00D13F23"/>
    <w:rsid w:val="00D13F24"/>
    <w:rsid w:val="00D13FB4"/>
    <w:rsid w:val="00D146A4"/>
    <w:rsid w:val="00D14C31"/>
    <w:rsid w:val="00D15571"/>
    <w:rsid w:val="00D166DC"/>
    <w:rsid w:val="00D17460"/>
    <w:rsid w:val="00D2000F"/>
    <w:rsid w:val="00D209C2"/>
    <w:rsid w:val="00D214CF"/>
    <w:rsid w:val="00D21A6F"/>
    <w:rsid w:val="00D23201"/>
    <w:rsid w:val="00D24314"/>
    <w:rsid w:val="00D2627F"/>
    <w:rsid w:val="00D27764"/>
    <w:rsid w:val="00D27D95"/>
    <w:rsid w:val="00D305CE"/>
    <w:rsid w:val="00D30B5C"/>
    <w:rsid w:val="00D31330"/>
    <w:rsid w:val="00D31F33"/>
    <w:rsid w:val="00D3276C"/>
    <w:rsid w:val="00D32A2A"/>
    <w:rsid w:val="00D32DF0"/>
    <w:rsid w:val="00D33A3A"/>
    <w:rsid w:val="00D3458D"/>
    <w:rsid w:val="00D348E1"/>
    <w:rsid w:val="00D35218"/>
    <w:rsid w:val="00D352F4"/>
    <w:rsid w:val="00D35CA4"/>
    <w:rsid w:val="00D37381"/>
    <w:rsid w:val="00D378E2"/>
    <w:rsid w:val="00D37E06"/>
    <w:rsid w:val="00D40F43"/>
    <w:rsid w:val="00D41C71"/>
    <w:rsid w:val="00D4205C"/>
    <w:rsid w:val="00D438FE"/>
    <w:rsid w:val="00D44A8B"/>
    <w:rsid w:val="00D4554E"/>
    <w:rsid w:val="00D4581F"/>
    <w:rsid w:val="00D45A47"/>
    <w:rsid w:val="00D47E7E"/>
    <w:rsid w:val="00D50048"/>
    <w:rsid w:val="00D50254"/>
    <w:rsid w:val="00D51223"/>
    <w:rsid w:val="00D5159C"/>
    <w:rsid w:val="00D5252C"/>
    <w:rsid w:val="00D53A1E"/>
    <w:rsid w:val="00D53DF3"/>
    <w:rsid w:val="00D54AEB"/>
    <w:rsid w:val="00D562A2"/>
    <w:rsid w:val="00D5758C"/>
    <w:rsid w:val="00D57619"/>
    <w:rsid w:val="00D57665"/>
    <w:rsid w:val="00D57C4A"/>
    <w:rsid w:val="00D57D9D"/>
    <w:rsid w:val="00D614D0"/>
    <w:rsid w:val="00D614F9"/>
    <w:rsid w:val="00D61FDF"/>
    <w:rsid w:val="00D62282"/>
    <w:rsid w:val="00D62412"/>
    <w:rsid w:val="00D63EE2"/>
    <w:rsid w:val="00D640E8"/>
    <w:rsid w:val="00D64C9D"/>
    <w:rsid w:val="00D65273"/>
    <w:rsid w:val="00D65E92"/>
    <w:rsid w:val="00D706E1"/>
    <w:rsid w:val="00D70B37"/>
    <w:rsid w:val="00D71C06"/>
    <w:rsid w:val="00D72F9B"/>
    <w:rsid w:val="00D7386C"/>
    <w:rsid w:val="00D73A8B"/>
    <w:rsid w:val="00D7447E"/>
    <w:rsid w:val="00D74C87"/>
    <w:rsid w:val="00D74D4A"/>
    <w:rsid w:val="00D75510"/>
    <w:rsid w:val="00D756EB"/>
    <w:rsid w:val="00D808CE"/>
    <w:rsid w:val="00D81976"/>
    <w:rsid w:val="00D823DE"/>
    <w:rsid w:val="00D8262A"/>
    <w:rsid w:val="00D8454D"/>
    <w:rsid w:val="00D856DE"/>
    <w:rsid w:val="00D87168"/>
    <w:rsid w:val="00D874B2"/>
    <w:rsid w:val="00D87C3A"/>
    <w:rsid w:val="00D90967"/>
    <w:rsid w:val="00D9180D"/>
    <w:rsid w:val="00D91FFC"/>
    <w:rsid w:val="00D924ED"/>
    <w:rsid w:val="00D92F56"/>
    <w:rsid w:val="00D937EE"/>
    <w:rsid w:val="00D941BA"/>
    <w:rsid w:val="00D96CE8"/>
    <w:rsid w:val="00D97D46"/>
    <w:rsid w:val="00DA0CA9"/>
    <w:rsid w:val="00DA19BD"/>
    <w:rsid w:val="00DA1BDC"/>
    <w:rsid w:val="00DA2091"/>
    <w:rsid w:val="00DA231A"/>
    <w:rsid w:val="00DA305E"/>
    <w:rsid w:val="00DA312D"/>
    <w:rsid w:val="00DA3DD8"/>
    <w:rsid w:val="00DA4189"/>
    <w:rsid w:val="00DA4550"/>
    <w:rsid w:val="00DA64CE"/>
    <w:rsid w:val="00DA7C3B"/>
    <w:rsid w:val="00DB0606"/>
    <w:rsid w:val="00DB1927"/>
    <w:rsid w:val="00DB23B4"/>
    <w:rsid w:val="00DB269D"/>
    <w:rsid w:val="00DB2D3B"/>
    <w:rsid w:val="00DB3005"/>
    <w:rsid w:val="00DB3E7A"/>
    <w:rsid w:val="00DB5357"/>
    <w:rsid w:val="00DB56C5"/>
    <w:rsid w:val="00DB5E2C"/>
    <w:rsid w:val="00DB6D97"/>
    <w:rsid w:val="00DC046A"/>
    <w:rsid w:val="00DC1774"/>
    <w:rsid w:val="00DC26A2"/>
    <w:rsid w:val="00DC375C"/>
    <w:rsid w:val="00DC404E"/>
    <w:rsid w:val="00DC47DB"/>
    <w:rsid w:val="00DC48EF"/>
    <w:rsid w:val="00DC4BC7"/>
    <w:rsid w:val="00DC5D92"/>
    <w:rsid w:val="00DC643E"/>
    <w:rsid w:val="00DC670E"/>
    <w:rsid w:val="00DC6EF4"/>
    <w:rsid w:val="00DD01FC"/>
    <w:rsid w:val="00DD0F50"/>
    <w:rsid w:val="00DD358C"/>
    <w:rsid w:val="00DD36A1"/>
    <w:rsid w:val="00DD3E38"/>
    <w:rsid w:val="00DD45C7"/>
    <w:rsid w:val="00DD4AFE"/>
    <w:rsid w:val="00DD4E54"/>
    <w:rsid w:val="00DD5837"/>
    <w:rsid w:val="00DD5A36"/>
    <w:rsid w:val="00DD5F08"/>
    <w:rsid w:val="00DD6579"/>
    <w:rsid w:val="00DD70F3"/>
    <w:rsid w:val="00DD750C"/>
    <w:rsid w:val="00DE05BA"/>
    <w:rsid w:val="00DE1BD5"/>
    <w:rsid w:val="00DE2564"/>
    <w:rsid w:val="00DE2938"/>
    <w:rsid w:val="00DE2DA3"/>
    <w:rsid w:val="00DE3C88"/>
    <w:rsid w:val="00DE427B"/>
    <w:rsid w:val="00DE4AFA"/>
    <w:rsid w:val="00DE4B1E"/>
    <w:rsid w:val="00DE4BCA"/>
    <w:rsid w:val="00DE6277"/>
    <w:rsid w:val="00DE68DA"/>
    <w:rsid w:val="00DE6EEF"/>
    <w:rsid w:val="00DE7B36"/>
    <w:rsid w:val="00DF031A"/>
    <w:rsid w:val="00DF0824"/>
    <w:rsid w:val="00DF0BA6"/>
    <w:rsid w:val="00DF2193"/>
    <w:rsid w:val="00DF52F6"/>
    <w:rsid w:val="00DF543E"/>
    <w:rsid w:val="00DF6BF0"/>
    <w:rsid w:val="00DF6BFA"/>
    <w:rsid w:val="00DF7257"/>
    <w:rsid w:val="00E003DA"/>
    <w:rsid w:val="00E01398"/>
    <w:rsid w:val="00E01813"/>
    <w:rsid w:val="00E01E32"/>
    <w:rsid w:val="00E021F5"/>
    <w:rsid w:val="00E03771"/>
    <w:rsid w:val="00E03F54"/>
    <w:rsid w:val="00E04061"/>
    <w:rsid w:val="00E0534E"/>
    <w:rsid w:val="00E0550D"/>
    <w:rsid w:val="00E066DA"/>
    <w:rsid w:val="00E067AA"/>
    <w:rsid w:val="00E06C53"/>
    <w:rsid w:val="00E06ED6"/>
    <w:rsid w:val="00E071C7"/>
    <w:rsid w:val="00E074F0"/>
    <w:rsid w:val="00E10C22"/>
    <w:rsid w:val="00E14E2E"/>
    <w:rsid w:val="00E14FB2"/>
    <w:rsid w:val="00E15585"/>
    <w:rsid w:val="00E159D1"/>
    <w:rsid w:val="00E15CA7"/>
    <w:rsid w:val="00E15E12"/>
    <w:rsid w:val="00E16997"/>
    <w:rsid w:val="00E16A8D"/>
    <w:rsid w:val="00E170D6"/>
    <w:rsid w:val="00E20059"/>
    <w:rsid w:val="00E208F9"/>
    <w:rsid w:val="00E210EE"/>
    <w:rsid w:val="00E2131B"/>
    <w:rsid w:val="00E216C0"/>
    <w:rsid w:val="00E21A42"/>
    <w:rsid w:val="00E23894"/>
    <w:rsid w:val="00E23D3B"/>
    <w:rsid w:val="00E24070"/>
    <w:rsid w:val="00E24442"/>
    <w:rsid w:val="00E24F47"/>
    <w:rsid w:val="00E25891"/>
    <w:rsid w:val="00E26133"/>
    <w:rsid w:val="00E26248"/>
    <w:rsid w:val="00E266E9"/>
    <w:rsid w:val="00E26853"/>
    <w:rsid w:val="00E26BB8"/>
    <w:rsid w:val="00E275A8"/>
    <w:rsid w:val="00E303F1"/>
    <w:rsid w:val="00E311F4"/>
    <w:rsid w:val="00E3246D"/>
    <w:rsid w:val="00E33D4B"/>
    <w:rsid w:val="00E33F29"/>
    <w:rsid w:val="00E35760"/>
    <w:rsid w:val="00E360AC"/>
    <w:rsid w:val="00E3611A"/>
    <w:rsid w:val="00E368C8"/>
    <w:rsid w:val="00E36A17"/>
    <w:rsid w:val="00E4048B"/>
    <w:rsid w:val="00E408E0"/>
    <w:rsid w:val="00E40D9A"/>
    <w:rsid w:val="00E410DE"/>
    <w:rsid w:val="00E44007"/>
    <w:rsid w:val="00E44274"/>
    <w:rsid w:val="00E44A38"/>
    <w:rsid w:val="00E454F8"/>
    <w:rsid w:val="00E45CC0"/>
    <w:rsid w:val="00E4660C"/>
    <w:rsid w:val="00E47A0F"/>
    <w:rsid w:val="00E47A42"/>
    <w:rsid w:val="00E505F8"/>
    <w:rsid w:val="00E51410"/>
    <w:rsid w:val="00E51520"/>
    <w:rsid w:val="00E52844"/>
    <w:rsid w:val="00E52C4F"/>
    <w:rsid w:val="00E533BC"/>
    <w:rsid w:val="00E5350A"/>
    <w:rsid w:val="00E53B7A"/>
    <w:rsid w:val="00E54146"/>
    <w:rsid w:val="00E543CC"/>
    <w:rsid w:val="00E5547D"/>
    <w:rsid w:val="00E57D5D"/>
    <w:rsid w:val="00E60706"/>
    <w:rsid w:val="00E60D0B"/>
    <w:rsid w:val="00E61301"/>
    <w:rsid w:val="00E6172B"/>
    <w:rsid w:val="00E61981"/>
    <w:rsid w:val="00E62252"/>
    <w:rsid w:val="00E631CD"/>
    <w:rsid w:val="00E6379B"/>
    <w:rsid w:val="00E64138"/>
    <w:rsid w:val="00E66B48"/>
    <w:rsid w:val="00E6732C"/>
    <w:rsid w:val="00E707FA"/>
    <w:rsid w:val="00E71BA5"/>
    <w:rsid w:val="00E71D16"/>
    <w:rsid w:val="00E73AC3"/>
    <w:rsid w:val="00E749C5"/>
    <w:rsid w:val="00E768C0"/>
    <w:rsid w:val="00E77168"/>
    <w:rsid w:val="00E77EB5"/>
    <w:rsid w:val="00E8022B"/>
    <w:rsid w:val="00E81016"/>
    <w:rsid w:val="00E8192F"/>
    <w:rsid w:val="00E81A3E"/>
    <w:rsid w:val="00E81C66"/>
    <w:rsid w:val="00E8298E"/>
    <w:rsid w:val="00E82F33"/>
    <w:rsid w:val="00E83A31"/>
    <w:rsid w:val="00E83CCD"/>
    <w:rsid w:val="00E83CD3"/>
    <w:rsid w:val="00E8402F"/>
    <w:rsid w:val="00E84AB8"/>
    <w:rsid w:val="00E853B5"/>
    <w:rsid w:val="00E85D23"/>
    <w:rsid w:val="00E85E74"/>
    <w:rsid w:val="00E85ECB"/>
    <w:rsid w:val="00E8685A"/>
    <w:rsid w:val="00E86A9E"/>
    <w:rsid w:val="00E905F1"/>
    <w:rsid w:val="00E92174"/>
    <w:rsid w:val="00E92855"/>
    <w:rsid w:val="00E92E55"/>
    <w:rsid w:val="00E94F3F"/>
    <w:rsid w:val="00E967F0"/>
    <w:rsid w:val="00E96C74"/>
    <w:rsid w:val="00EA11D2"/>
    <w:rsid w:val="00EA121C"/>
    <w:rsid w:val="00EA15F3"/>
    <w:rsid w:val="00EA164C"/>
    <w:rsid w:val="00EA1EAD"/>
    <w:rsid w:val="00EA2110"/>
    <w:rsid w:val="00EA245A"/>
    <w:rsid w:val="00EA2F7A"/>
    <w:rsid w:val="00EA3910"/>
    <w:rsid w:val="00EA4B15"/>
    <w:rsid w:val="00EA4F0D"/>
    <w:rsid w:val="00EA624C"/>
    <w:rsid w:val="00EA7A0D"/>
    <w:rsid w:val="00EA7A8E"/>
    <w:rsid w:val="00EA7CB0"/>
    <w:rsid w:val="00EB053B"/>
    <w:rsid w:val="00EB1417"/>
    <w:rsid w:val="00EB32E3"/>
    <w:rsid w:val="00EB3749"/>
    <w:rsid w:val="00EB38F9"/>
    <w:rsid w:val="00EB4155"/>
    <w:rsid w:val="00EB4856"/>
    <w:rsid w:val="00EB57F4"/>
    <w:rsid w:val="00EB62F6"/>
    <w:rsid w:val="00EB6958"/>
    <w:rsid w:val="00EB6E0B"/>
    <w:rsid w:val="00EB702B"/>
    <w:rsid w:val="00EB747F"/>
    <w:rsid w:val="00EB790C"/>
    <w:rsid w:val="00EB7B31"/>
    <w:rsid w:val="00EB7B71"/>
    <w:rsid w:val="00EB7DDD"/>
    <w:rsid w:val="00EC03CD"/>
    <w:rsid w:val="00EC0CC3"/>
    <w:rsid w:val="00EC0D9D"/>
    <w:rsid w:val="00EC180C"/>
    <w:rsid w:val="00EC1F8C"/>
    <w:rsid w:val="00EC1F9D"/>
    <w:rsid w:val="00EC238E"/>
    <w:rsid w:val="00EC2B68"/>
    <w:rsid w:val="00EC35AF"/>
    <w:rsid w:val="00EC4402"/>
    <w:rsid w:val="00EC4C0B"/>
    <w:rsid w:val="00EC4FE2"/>
    <w:rsid w:val="00EC522E"/>
    <w:rsid w:val="00EC53A7"/>
    <w:rsid w:val="00EC5BFA"/>
    <w:rsid w:val="00EC7993"/>
    <w:rsid w:val="00EC7E70"/>
    <w:rsid w:val="00ED02C7"/>
    <w:rsid w:val="00ED07FB"/>
    <w:rsid w:val="00ED100B"/>
    <w:rsid w:val="00ED2BB3"/>
    <w:rsid w:val="00ED2C1F"/>
    <w:rsid w:val="00ED3421"/>
    <w:rsid w:val="00ED3B55"/>
    <w:rsid w:val="00ED3E6C"/>
    <w:rsid w:val="00ED4060"/>
    <w:rsid w:val="00ED5F28"/>
    <w:rsid w:val="00ED6EC5"/>
    <w:rsid w:val="00ED755D"/>
    <w:rsid w:val="00EE000B"/>
    <w:rsid w:val="00EE0205"/>
    <w:rsid w:val="00EE1066"/>
    <w:rsid w:val="00EE11BA"/>
    <w:rsid w:val="00EE13E2"/>
    <w:rsid w:val="00EE1E89"/>
    <w:rsid w:val="00EE2035"/>
    <w:rsid w:val="00EE2052"/>
    <w:rsid w:val="00EE2500"/>
    <w:rsid w:val="00EE3E48"/>
    <w:rsid w:val="00EE467E"/>
    <w:rsid w:val="00EE4B5B"/>
    <w:rsid w:val="00EE4C70"/>
    <w:rsid w:val="00EE6E21"/>
    <w:rsid w:val="00EE6EA3"/>
    <w:rsid w:val="00EE79B2"/>
    <w:rsid w:val="00EE7F8F"/>
    <w:rsid w:val="00EF08C4"/>
    <w:rsid w:val="00EF0CCF"/>
    <w:rsid w:val="00EF2473"/>
    <w:rsid w:val="00EF24DC"/>
    <w:rsid w:val="00EF2AA6"/>
    <w:rsid w:val="00EF2FA2"/>
    <w:rsid w:val="00EF450A"/>
    <w:rsid w:val="00EF58F2"/>
    <w:rsid w:val="00EF5946"/>
    <w:rsid w:val="00EF641C"/>
    <w:rsid w:val="00EF68EE"/>
    <w:rsid w:val="00EF6B11"/>
    <w:rsid w:val="00EF72E5"/>
    <w:rsid w:val="00F00479"/>
    <w:rsid w:val="00F00B4A"/>
    <w:rsid w:val="00F00C77"/>
    <w:rsid w:val="00F01289"/>
    <w:rsid w:val="00F016E5"/>
    <w:rsid w:val="00F01704"/>
    <w:rsid w:val="00F02947"/>
    <w:rsid w:val="00F03727"/>
    <w:rsid w:val="00F040FE"/>
    <w:rsid w:val="00F04508"/>
    <w:rsid w:val="00F05890"/>
    <w:rsid w:val="00F05961"/>
    <w:rsid w:val="00F06EBC"/>
    <w:rsid w:val="00F0735D"/>
    <w:rsid w:val="00F0756A"/>
    <w:rsid w:val="00F103BA"/>
    <w:rsid w:val="00F10CF4"/>
    <w:rsid w:val="00F11AC1"/>
    <w:rsid w:val="00F132ED"/>
    <w:rsid w:val="00F142FC"/>
    <w:rsid w:val="00F153BC"/>
    <w:rsid w:val="00F15931"/>
    <w:rsid w:val="00F164EF"/>
    <w:rsid w:val="00F16875"/>
    <w:rsid w:val="00F171CD"/>
    <w:rsid w:val="00F1765E"/>
    <w:rsid w:val="00F2114B"/>
    <w:rsid w:val="00F22645"/>
    <w:rsid w:val="00F22C7F"/>
    <w:rsid w:val="00F235F7"/>
    <w:rsid w:val="00F238A1"/>
    <w:rsid w:val="00F244A9"/>
    <w:rsid w:val="00F25C55"/>
    <w:rsid w:val="00F3022D"/>
    <w:rsid w:val="00F30DA2"/>
    <w:rsid w:val="00F30FE9"/>
    <w:rsid w:val="00F315C4"/>
    <w:rsid w:val="00F32947"/>
    <w:rsid w:val="00F32D4B"/>
    <w:rsid w:val="00F349DC"/>
    <w:rsid w:val="00F35321"/>
    <w:rsid w:val="00F35C0A"/>
    <w:rsid w:val="00F35F27"/>
    <w:rsid w:val="00F3610C"/>
    <w:rsid w:val="00F36324"/>
    <w:rsid w:val="00F3785F"/>
    <w:rsid w:val="00F4031E"/>
    <w:rsid w:val="00F404E6"/>
    <w:rsid w:val="00F40D40"/>
    <w:rsid w:val="00F40F2D"/>
    <w:rsid w:val="00F43449"/>
    <w:rsid w:val="00F445E9"/>
    <w:rsid w:val="00F445EB"/>
    <w:rsid w:val="00F44EF5"/>
    <w:rsid w:val="00F4627F"/>
    <w:rsid w:val="00F4768D"/>
    <w:rsid w:val="00F478AA"/>
    <w:rsid w:val="00F534B8"/>
    <w:rsid w:val="00F53F49"/>
    <w:rsid w:val="00F54C29"/>
    <w:rsid w:val="00F5589E"/>
    <w:rsid w:val="00F56597"/>
    <w:rsid w:val="00F56EF5"/>
    <w:rsid w:val="00F57470"/>
    <w:rsid w:val="00F60703"/>
    <w:rsid w:val="00F64EC2"/>
    <w:rsid w:val="00F65BBE"/>
    <w:rsid w:val="00F668FA"/>
    <w:rsid w:val="00F67ABB"/>
    <w:rsid w:val="00F70C3D"/>
    <w:rsid w:val="00F721EB"/>
    <w:rsid w:val="00F7232A"/>
    <w:rsid w:val="00F73317"/>
    <w:rsid w:val="00F73770"/>
    <w:rsid w:val="00F73A68"/>
    <w:rsid w:val="00F73F6F"/>
    <w:rsid w:val="00F75164"/>
    <w:rsid w:val="00F755D7"/>
    <w:rsid w:val="00F7648B"/>
    <w:rsid w:val="00F764EF"/>
    <w:rsid w:val="00F76A5D"/>
    <w:rsid w:val="00F76F77"/>
    <w:rsid w:val="00F77CBF"/>
    <w:rsid w:val="00F77CC6"/>
    <w:rsid w:val="00F80E23"/>
    <w:rsid w:val="00F83618"/>
    <w:rsid w:val="00F837AF"/>
    <w:rsid w:val="00F83DE5"/>
    <w:rsid w:val="00F84442"/>
    <w:rsid w:val="00F845F2"/>
    <w:rsid w:val="00F84839"/>
    <w:rsid w:val="00F84994"/>
    <w:rsid w:val="00F85204"/>
    <w:rsid w:val="00F857E3"/>
    <w:rsid w:val="00F85E40"/>
    <w:rsid w:val="00F8626C"/>
    <w:rsid w:val="00F868B9"/>
    <w:rsid w:val="00F9004E"/>
    <w:rsid w:val="00F9123F"/>
    <w:rsid w:val="00F92DA5"/>
    <w:rsid w:val="00F9382D"/>
    <w:rsid w:val="00F9436A"/>
    <w:rsid w:val="00F94423"/>
    <w:rsid w:val="00F94680"/>
    <w:rsid w:val="00F947AF"/>
    <w:rsid w:val="00F95644"/>
    <w:rsid w:val="00F9598A"/>
    <w:rsid w:val="00F96738"/>
    <w:rsid w:val="00F96786"/>
    <w:rsid w:val="00F96CFA"/>
    <w:rsid w:val="00F97A23"/>
    <w:rsid w:val="00FA09CC"/>
    <w:rsid w:val="00FA0B84"/>
    <w:rsid w:val="00FA0EFB"/>
    <w:rsid w:val="00FA15A8"/>
    <w:rsid w:val="00FA1B07"/>
    <w:rsid w:val="00FA1C10"/>
    <w:rsid w:val="00FA1EE4"/>
    <w:rsid w:val="00FA346C"/>
    <w:rsid w:val="00FA4E7C"/>
    <w:rsid w:val="00FA551D"/>
    <w:rsid w:val="00FA5524"/>
    <w:rsid w:val="00FA5A6F"/>
    <w:rsid w:val="00FA5F1C"/>
    <w:rsid w:val="00FA6CD2"/>
    <w:rsid w:val="00FA6CDD"/>
    <w:rsid w:val="00FA7568"/>
    <w:rsid w:val="00FA7DCA"/>
    <w:rsid w:val="00FB0486"/>
    <w:rsid w:val="00FB09CB"/>
    <w:rsid w:val="00FB1266"/>
    <w:rsid w:val="00FB17B2"/>
    <w:rsid w:val="00FB420A"/>
    <w:rsid w:val="00FB51E9"/>
    <w:rsid w:val="00FB55BB"/>
    <w:rsid w:val="00FB55DB"/>
    <w:rsid w:val="00FB6840"/>
    <w:rsid w:val="00FB7996"/>
    <w:rsid w:val="00FB7A13"/>
    <w:rsid w:val="00FC085C"/>
    <w:rsid w:val="00FC0951"/>
    <w:rsid w:val="00FC09ED"/>
    <w:rsid w:val="00FC1167"/>
    <w:rsid w:val="00FC1F32"/>
    <w:rsid w:val="00FC25BB"/>
    <w:rsid w:val="00FC295E"/>
    <w:rsid w:val="00FC2BD2"/>
    <w:rsid w:val="00FC373C"/>
    <w:rsid w:val="00FC4071"/>
    <w:rsid w:val="00FC54C1"/>
    <w:rsid w:val="00FC5DB0"/>
    <w:rsid w:val="00FC6272"/>
    <w:rsid w:val="00FC6C96"/>
    <w:rsid w:val="00FC7EC9"/>
    <w:rsid w:val="00FD388C"/>
    <w:rsid w:val="00FD405D"/>
    <w:rsid w:val="00FD45EC"/>
    <w:rsid w:val="00FD4EF9"/>
    <w:rsid w:val="00FD50C4"/>
    <w:rsid w:val="00FD6222"/>
    <w:rsid w:val="00FE0A6C"/>
    <w:rsid w:val="00FE0DA8"/>
    <w:rsid w:val="00FE10E7"/>
    <w:rsid w:val="00FE261A"/>
    <w:rsid w:val="00FE3FE8"/>
    <w:rsid w:val="00FE4513"/>
    <w:rsid w:val="00FE4E1F"/>
    <w:rsid w:val="00FE4E29"/>
    <w:rsid w:val="00FE529C"/>
    <w:rsid w:val="00FE5650"/>
    <w:rsid w:val="00FE62E4"/>
    <w:rsid w:val="00FE675E"/>
    <w:rsid w:val="00FE7DA1"/>
    <w:rsid w:val="00FF0013"/>
    <w:rsid w:val="00FF0917"/>
    <w:rsid w:val="00FF1FC9"/>
    <w:rsid w:val="00FF21B4"/>
    <w:rsid w:val="00FF3860"/>
    <w:rsid w:val="00FF3DE2"/>
    <w:rsid w:val="00FF42A9"/>
    <w:rsid w:val="00FF5058"/>
    <w:rsid w:val="00FF5362"/>
    <w:rsid w:val="00FF5993"/>
    <w:rsid w:val="00FF62E2"/>
    <w:rsid w:val="00FF6704"/>
    <w:rsid w:val="00FF7504"/>
    <w:rsid w:val="00FF7994"/>
    <w:rsid w:val="010B419C"/>
    <w:rsid w:val="01285AED"/>
    <w:rsid w:val="01C52DCA"/>
    <w:rsid w:val="02FA5F86"/>
    <w:rsid w:val="03077C85"/>
    <w:rsid w:val="033571D5"/>
    <w:rsid w:val="038C11C3"/>
    <w:rsid w:val="044A1673"/>
    <w:rsid w:val="04775920"/>
    <w:rsid w:val="056C1D73"/>
    <w:rsid w:val="05C022B7"/>
    <w:rsid w:val="07084866"/>
    <w:rsid w:val="075B0D07"/>
    <w:rsid w:val="07AF0EA9"/>
    <w:rsid w:val="0832769A"/>
    <w:rsid w:val="086F2A11"/>
    <w:rsid w:val="0A2B5FE2"/>
    <w:rsid w:val="0A57487D"/>
    <w:rsid w:val="0AEF5329"/>
    <w:rsid w:val="0B534CD8"/>
    <w:rsid w:val="0C846A3D"/>
    <w:rsid w:val="0C990CE9"/>
    <w:rsid w:val="0D542CA5"/>
    <w:rsid w:val="0D7868B2"/>
    <w:rsid w:val="0D863BD9"/>
    <w:rsid w:val="0E056AEB"/>
    <w:rsid w:val="0EAC1661"/>
    <w:rsid w:val="0F33245C"/>
    <w:rsid w:val="0FB748D6"/>
    <w:rsid w:val="10121F59"/>
    <w:rsid w:val="11324810"/>
    <w:rsid w:val="12C63830"/>
    <w:rsid w:val="139D3177"/>
    <w:rsid w:val="1477663B"/>
    <w:rsid w:val="14B01AB8"/>
    <w:rsid w:val="15C97F3E"/>
    <w:rsid w:val="15CD0666"/>
    <w:rsid w:val="16226B6B"/>
    <w:rsid w:val="16623B1C"/>
    <w:rsid w:val="17330A2A"/>
    <w:rsid w:val="18554375"/>
    <w:rsid w:val="19C66210"/>
    <w:rsid w:val="19CD7DF0"/>
    <w:rsid w:val="1A6E3742"/>
    <w:rsid w:val="1D9D1FA8"/>
    <w:rsid w:val="1DB46BA5"/>
    <w:rsid w:val="1E1445C4"/>
    <w:rsid w:val="1ED617F0"/>
    <w:rsid w:val="1F9D70C0"/>
    <w:rsid w:val="21284BD2"/>
    <w:rsid w:val="214F7A2B"/>
    <w:rsid w:val="21E3740E"/>
    <w:rsid w:val="22083617"/>
    <w:rsid w:val="222B101D"/>
    <w:rsid w:val="22B51A73"/>
    <w:rsid w:val="22BC0F8A"/>
    <w:rsid w:val="238E7683"/>
    <w:rsid w:val="243F7347"/>
    <w:rsid w:val="24C90A81"/>
    <w:rsid w:val="24CD1881"/>
    <w:rsid w:val="25290B19"/>
    <w:rsid w:val="26DC6C27"/>
    <w:rsid w:val="26E66092"/>
    <w:rsid w:val="27127C4F"/>
    <w:rsid w:val="27CF484D"/>
    <w:rsid w:val="282F5788"/>
    <w:rsid w:val="28E35B89"/>
    <w:rsid w:val="29FD2296"/>
    <w:rsid w:val="2B9C6ADB"/>
    <w:rsid w:val="2D151332"/>
    <w:rsid w:val="2EA57CF5"/>
    <w:rsid w:val="2FD35028"/>
    <w:rsid w:val="2FF97F72"/>
    <w:rsid w:val="300357AB"/>
    <w:rsid w:val="325B51AB"/>
    <w:rsid w:val="328D6D53"/>
    <w:rsid w:val="3301549B"/>
    <w:rsid w:val="33AC5DAA"/>
    <w:rsid w:val="342C6EC8"/>
    <w:rsid w:val="346F4C20"/>
    <w:rsid w:val="35610C3B"/>
    <w:rsid w:val="362E052F"/>
    <w:rsid w:val="36386400"/>
    <w:rsid w:val="36C057E2"/>
    <w:rsid w:val="37781F96"/>
    <w:rsid w:val="377D3461"/>
    <w:rsid w:val="37897BF8"/>
    <w:rsid w:val="37EB1C23"/>
    <w:rsid w:val="396C6C3F"/>
    <w:rsid w:val="3AE56BFB"/>
    <w:rsid w:val="3AF47CDE"/>
    <w:rsid w:val="3B3E3EF1"/>
    <w:rsid w:val="3B8364CF"/>
    <w:rsid w:val="3C1A5DC5"/>
    <w:rsid w:val="3C624820"/>
    <w:rsid w:val="3CD4508C"/>
    <w:rsid w:val="3D2B4A4B"/>
    <w:rsid w:val="3E041B71"/>
    <w:rsid w:val="3E415AD5"/>
    <w:rsid w:val="3E515B63"/>
    <w:rsid w:val="3E7B28B5"/>
    <w:rsid w:val="3E9E1B45"/>
    <w:rsid w:val="3FE24C5D"/>
    <w:rsid w:val="409E758E"/>
    <w:rsid w:val="40A664F1"/>
    <w:rsid w:val="40EE1E8D"/>
    <w:rsid w:val="419B6C64"/>
    <w:rsid w:val="41CA7246"/>
    <w:rsid w:val="4272568A"/>
    <w:rsid w:val="43363240"/>
    <w:rsid w:val="43526CA5"/>
    <w:rsid w:val="43F82546"/>
    <w:rsid w:val="446A5C4F"/>
    <w:rsid w:val="44781C12"/>
    <w:rsid w:val="451A0AD6"/>
    <w:rsid w:val="45EB662E"/>
    <w:rsid w:val="477A65BA"/>
    <w:rsid w:val="47A76A92"/>
    <w:rsid w:val="47DB2C2D"/>
    <w:rsid w:val="48676BB5"/>
    <w:rsid w:val="486B7802"/>
    <w:rsid w:val="48C308F6"/>
    <w:rsid w:val="4A02452F"/>
    <w:rsid w:val="4BB81C59"/>
    <w:rsid w:val="4BD77D54"/>
    <w:rsid w:val="4C1E4E0E"/>
    <w:rsid w:val="4CB052E1"/>
    <w:rsid w:val="4F414743"/>
    <w:rsid w:val="4F532696"/>
    <w:rsid w:val="4FB00686"/>
    <w:rsid w:val="501A0AAF"/>
    <w:rsid w:val="50E212C1"/>
    <w:rsid w:val="51306794"/>
    <w:rsid w:val="5143497E"/>
    <w:rsid w:val="515C2027"/>
    <w:rsid w:val="51751E21"/>
    <w:rsid w:val="52B11B90"/>
    <w:rsid w:val="52F57F23"/>
    <w:rsid w:val="5358580E"/>
    <w:rsid w:val="53717751"/>
    <w:rsid w:val="53D72331"/>
    <w:rsid w:val="565902BA"/>
    <w:rsid w:val="57A31611"/>
    <w:rsid w:val="57AE46A0"/>
    <w:rsid w:val="57BE7E6E"/>
    <w:rsid w:val="57D76D6C"/>
    <w:rsid w:val="58007BBA"/>
    <w:rsid w:val="58E7347C"/>
    <w:rsid w:val="597122F6"/>
    <w:rsid w:val="5A556B07"/>
    <w:rsid w:val="5AB272B2"/>
    <w:rsid w:val="5ACA7DCC"/>
    <w:rsid w:val="5B1244D7"/>
    <w:rsid w:val="5B1775EC"/>
    <w:rsid w:val="5BD84A10"/>
    <w:rsid w:val="5C8276CB"/>
    <w:rsid w:val="5C8C6F1D"/>
    <w:rsid w:val="5C946998"/>
    <w:rsid w:val="5CA85DDF"/>
    <w:rsid w:val="5CF17859"/>
    <w:rsid w:val="5D1F51B0"/>
    <w:rsid w:val="5E7566AD"/>
    <w:rsid w:val="5E9D4C0B"/>
    <w:rsid w:val="5F5219D6"/>
    <w:rsid w:val="5FE11220"/>
    <w:rsid w:val="607F020B"/>
    <w:rsid w:val="6323508A"/>
    <w:rsid w:val="63E85F1F"/>
    <w:rsid w:val="642B16C4"/>
    <w:rsid w:val="656A49FC"/>
    <w:rsid w:val="65A7563F"/>
    <w:rsid w:val="66D26F8B"/>
    <w:rsid w:val="66D91C48"/>
    <w:rsid w:val="67013010"/>
    <w:rsid w:val="677B68D0"/>
    <w:rsid w:val="67F54BFA"/>
    <w:rsid w:val="68BF16A0"/>
    <w:rsid w:val="69B31A39"/>
    <w:rsid w:val="6A1B7029"/>
    <w:rsid w:val="6A3214E3"/>
    <w:rsid w:val="6A721A8A"/>
    <w:rsid w:val="6B0124FB"/>
    <w:rsid w:val="6B762361"/>
    <w:rsid w:val="6B865AF4"/>
    <w:rsid w:val="6CEB3FCB"/>
    <w:rsid w:val="6DE578C3"/>
    <w:rsid w:val="6E5C4453"/>
    <w:rsid w:val="6F1055FF"/>
    <w:rsid w:val="70145FAC"/>
    <w:rsid w:val="7210369B"/>
    <w:rsid w:val="72634C08"/>
    <w:rsid w:val="728200FB"/>
    <w:rsid w:val="7339170C"/>
    <w:rsid w:val="74F63097"/>
    <w:rsid w:val="75335329"/>
    <w:rsid w:val="754854AC"/>
    <w:rsid w:val="76B973C3"/>
    <w:rsid w:val="776300AC"/>
    <w:rsid w:val="77906E78"/>
    <w:rsid w:val="78272456"/>
    <w:rsid w:val="796C1946"/>
    <w:rsid w:val="79CC1638"/>
    <w:rsid w:val="7A08126C"/>
    <w:rsid w:val="7A9A5239"/>
    <w:rsid w:val="7B374FD9"/>
    <w:rsid w:val="7B7455AE"/>
    <w:rsid w:val="7B8D6F36"/>
    <w:rsid w:val="7BEC1B1B"/>
    <w:rsid w:val="7CCC736A"/>
    <w:rsid w:val="7CF87609"/>
    <w:rsid w:val="7D90582F"/>
    <w:rsid w:val="7ECF3B6C"/>
    <w:rsid w:val="7F5B0B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0"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A2110"/>
    <w:pPr>
      <w:widowControl w:val="0"/>
      <w:jc w:val="both"/>
    </w:pPr>
    <w:rPr>
      <w:szCs w:val="24"/>
    </w:rPr>
  </w:style>
  <w:style w:type="paragraph" w:styleId="Heading1">
    <w:name w:val="heading 1"/>
    <w:basedOn w:val="Normal"/>
    <w:next w:val="Normal"/>
    <w:link w:val="Heading1Char"/>
    <w:uiPriority w:val="99"/>
    <w:qFormat/>
    <w:rsid w:val="00EA211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EA211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EA2110"/>
    <w:pPr>
      <w:tabs>
        <w:tab w:val="left" w:pos="720"/>
      </w:tabs>
      <w:autoSpaceDE w:val="0"/>
      <w:autoSpaceDN w:val="0"/>
      <w:adjustRightInd w:val="0"/>
      <w:spacing w:before="120"/>
      <w:textAlignment w:val="baseline"/>
      <w:outlineLvl w:val="2"/>
    </w:pPr>
    <w:rPr>
      <w:rFonts w:ascii="宋体" w:hAnsi="Tms Rmn"/>
      <w:b/>
      <w:kern w:val="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110"/>
    <w:rPr>
      <w:b/>
      <w:kern w:val="44"/>
      <w:sz w:val="44"/>
    </w:rPr>
  </w:style>
  <w:style w:type="character" w:customStyle="1" w:styleId="Heading2Char">
    <w:name w:val="Heading 2 Char"/>
    <w:basedOn w:val="DefaultParagraphFont"/>
    <w:link w:val="Heading2"/>
    <w:uiPriority w:val="9"/>
    <w:semiHidden/>
    <w:rsid w:val="005861AD"/>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5861AD"/>
    <w:rPr>
      <w:b/>
      <w:bCs/>
      <w:sz w:val="32"/>
      <w:szCs w:val="32"/>
    </w:rPr>
  </w:style>
  <w:style w:type="character" w:customStyle="1" w:styleId="font91">
    <w:name w:val="font91"/>
    <w:uiPriority w:val="99"/>
    <w:rsid w:val="00EA2110"/>
    <w:rPr>
      <w:rFonts w:ascii="Times New Roman" w:hAnsi="Times New Roman"/>
      <w:color w:val="000000"/>
      <w:sz w:val="21"/>
      <w:vertAlign w:val="superscript"/>
    </w:rPr>
  </w:style>
  <w:style w:type="character" w:customStyle="1" w:styleId="HeaderChar">
    <w:name w:val="Header Char"/>
    <w:link w:val="Header"/>
    <w:uiPriority w:val="99"/>
    <w:locked/>
    <w:rsid w:val="00EA2110"/>
    <w:rPr>
      <w:rFonts w:ascii="Tahoma" w:hAnsi="Tahoma"/>
      <w:kern w:val="2"/>
      <w:sz w:val="18"/>
    </w:rPr>
  </w:style>
  <w:style w:type="character" w:styleId="HTMLDefinition">
    <w:name w:val="HTML Definition"/>
    <w:basedOn w:val="DefaultParagraphFont"/>
    <w:uiPriority w:val="99"/>
    <w:rsid w:val="00EA2110"/>
    <w:rPr>
      <w:rFonts w:ascii="Tahoma" w:hAnsi="Tahoma" w:cs="Times New Roman"/>
      <w:sz w:val="20"/>
    </w:rPr>
  </w:style>
  <w:style w:type="character" w:styleId="Strong">
    <w:name w:val="Strong"/>
    <w:basedOn w:val="DefaultParagraphFont"/>
    <w:uiPriority w:val="99"/>
    <w:qFormat/>
    <w:rsid w:val="00EA2110"/>
    <w:rPr>
      <w:rFonts w:ascii="Tahoma" w:hAnsi="Tahoma" w:cs="Times New Roman"/>
      <w:b/>
      <w:sz w:val="20"/>
    </w:rPr>
  </w:style>
  <w:style w:type="character" w:styleId="Hyperlink">
    <w:name w:val="Hyperlink"/>
    <w:basedOn w:val="DefaultParagraphFont"/>
    <w:uiPriority w:val="99"/>
    <w:rsid w:val="00EA2110"/>
    <w:rPr>
      <w:rFonts w:ascii="Tahoma" w:hAnsi="Tahoma" w:cs="Times New Roman"/>
      <w:color w:val="0000FF"/>
      <w:sz w:val="20"/>
      <w:u w:val="single"/>
    </w:rPr>
  </w:style>
  <w:style w:type="character" w:styleId="PageNumber">
    <w:name w:val="page number"/>
    <w:basedOn w:val="DefaultParagraphFont"/>
    <w:uiPriority w:val="99"/>
    <w:rsid w:val="00EA2110"/>
    <w:rPr>
      <w:rFonts w:cs="Times New Roman"/>
    </w:rPr>
  </w:style>
  <w:style w:type="character" w:styleId="HTMLCode">
    <w:name w:val="HTML Code"/>
    <w:basedOn w:val="DefaultParagraphFont"/>
    <w:uiPriority w:val="99"/>
    <w:rsid w:val="00EA2110"/>
    <w:rPr>
      <w:rFonts w:ascii="monospace" w:eastAsia="Times New Roman" w:hAnsi="monospace" w:cs="Times New Roman"/>
      <w:sz w:val="21"/>
    </w:rPr>
  </w:style>
  <w:style w:type="character" w:styleId="FollowedHyperlink">
    <w:name w:val="FollowedHyperlink"/>
    <w:basedOn w:val="DefaultParagraphFont"/>
    <w:uiPriority w:val="99"/>
    <w:rsid w:val="00EA2110"/>
    <w:rPr>
      <w:rFonts w:ascii="Tahoma" w:hAnsi="Tahoma" w:cs="Times New Roman"/>
      <w:color w:val="333333"/>
      <w:sz w:val="20"/>
      <w:u w:val="none"/>
    </w:rPr>
  </w:style>
  <w:style w:type="character" w:styleId="Emphasis">
    <w:name w:val="Emphasis"/>
    <w:basedOn w:val="DefaultParagraphFont"/>
    <w:uiPriority w:val="99"/>
    <w:qFormat/>
    <w:rsid w:val="00EA2110"/>
    <w:rPr>
      <w:rFonts w:ascii="Tahoma" w:hAnsi="Tahoma" w:cs="Times New Roman"/>
      <w:sz w:val="20"/>
    </w:rPr>
  </w:style>
  <w:style w:type="character" w:styleId="HTMLVariable">
    <w:name w:val="HTML Variable"/>
    <w:basedOn w:val="DefaultParagraphFont"/>
    <w:uiPriority w:val="99"/>
    <w:rsid w:val="00EA2110"/>
    <w:rPr>
      <w:rFonts w:ascii="Tahoma" w:hAnsi="Tahoma" w:cs="Times New Roman"/>
      <w:sz w:val="20"/>
    </w:rPr>
  </w:style>
  <w:style w:type="character" w:styleId="HTMLCite">
    <w:name w:val="HTML Cite"/>
    <w:basedOn w:val="DefaultParagraphFont"/>
    <w:uiPriority w:val="99"/>
    <w:rsid w:val="00EA2110"/>
    <w:rPr>
      <w:rFonts w:ascii="Tahoma" w:hAnsi="Tahoma" w:cs="Times New Roman"/>
      <w:sz w:val="20"/>
    </w:rPr>
  </w:style>
  <w:style w:type="character" w:styleId="HTMLKeyboard">
    <w:name w:val="HTML Keyboard"/>
    <w:basedOn w:val="DefaultParagraphFont"/>
    <w:uiPriority w:val="99"/>
    <w:rsid w:val="00EA2110"/>
    <w:rPr>
      <w:rFonts w:ascii="monospace" w:eastAsia="Times New Roman" w:hAnsi="monospace" w:cs="Times New Roman"/>
      <w:sz w:val="21"/>
    </w:rPr>
  </w:style>
  <w:style w:type="character" w:styleId="HTMLSample">
    <w:name w:val="HTML Sample"/>
    <w:basedOn w:val="DefaultParagraphFont"/>
    <w:uiPriority w:val="99"/>
    <w:rsid w:val="00EA2110"/>
    <w:rPr>
      <w:rFonts w:ascii="monospace" w:eastAsia="Times New Roman" w:hAnsi="monospace" w:cs="Times New Roman"/>
      <w:sz w:val="21"/>
    </w:rPr>
  </w:style>
  <w:style w:type="character" w:customStyle="1" w:styleId="font01">
    <w:name w:val="font01"/>
    <w:uiPriority w:val="99"/>
    <w:rsid w:val="00EA2110"/>
    <w:rPr>
      <w:rFonts w:ascii="宋体" w:eastAsia="宋体" w:hAnsi="宋体"/>
      <w:color w:val="000000"/>
      <w:sz w:val="21"/>
    </w:rPr>
  </w:style>
  <w:style w:type="character" w:customStyle="1" w:styleId="CharChar1">
    <w:name w:val="Char Char1"/>
    <w:aliases w:val="Char Char Char Char Char Char Char Char Char Char Char Char Char1,Char Char Char Char Char Char Char Char Char Char Char Char Char Char1,Char Char Char Char Char Char Char Char Char Char Char Char"/>
    <w:uiPriority w:val="99"/>
    <w:rsid w:val="00EA2110"/>
    <w:rPr>
      <w:rFonts w:ascii="Tahoma" w:hAnsi="Tahoma"/>
      <w:kern w:val="2"/>
      <w:sz w:val="18"/>
    </w:rPr>
  </w:style>
  <w:style w:type="character" w:customStyle="1" w:styleId="CharChar2">
    <w:name w:val="Char Char2"/>
    <w:uiPriority w:val="99"/>
    <w:rsid w:val="00EA2110"/>
    <w:rPr>
      <w:rFonts w:ascii="Tahoma" w:hAnsi="Tahoma"/>
      <w:b/>
      <w:kern w:val="44"/>
      <w:sz w:val="44"/>
    </w:rPr>
  </w:style>
  <w:style w:type="character" w:customStyle="1" w:styleId="font81">
    <w:name w:val="font81"/>
    <w:uiPriority w:val="99"/>
    <w:rsid w:val="00EA2110"/>
    <w:rPr>
      <w:rFonts w:ascii="Times New Roman" w:hAnsi="Times New Roman"/>
      <w:color w:val="000000"/>
      <w:sz w:val="21"/>
    </w:rPr>
  </w:style>
  <w:style w:type="character" w:customStyle="1" w:styleId="1CharChar">
    <w:name w:val="样式1 Char Char"/>
    <w:uiPriority w:val="99"/>
    <w:rsid w:val="00EA2110"/>
    <w:rPr>
      <w:rFonts w:ascii="Tahoma" w:eastAsia="宋体" w:hAnsi="Tahoma"/>
      <w:b/>
      <w:kern w:val="44"/>
      <w:sz w:val="36"/>
      <w:lang w:val="en-US" w:eastAsia="zh-CN"/>
    </w:rPr>
  </w:style>
  <w:style w:type="character" w:customStyle="1" w:styleId="style11">
    <w:name w:val="style11"/>
    <w:uiPriority w:val="99"/>
    <w:rsid w:val="00EA2110"/>
    <w:rPr>
      <w:rFonts w:ascii="Tahoma" w:hAnsi="Tahoma"/>
      <w:color w:val="AA0000"/>
      <w:sz w:val="20"/>
    </w:rPr>
  </w:style>
  <w:style w:type="character" w:customStyle="1" w:styleId="CharChar">
    <w:name w:val="Char Char"/>
    <w:aliases w:val="Char Char Char Char Char Char Char Char Char Char Char Char Char Char Char2,Char Char Char Char Char Char Char Char Char Char Char Char Char Char Char Char Char2,Char Char Char Char Char Char Char Char Char Char Char Char Char Char2"/>
    <w:uiPriority w:val="99"/>
    <w:rsid w:val="00EA2110"/>
    <w:rPr>
      <w:rFonts w:ascii="宋体" w:eastAsia="宋体" w:hAnsi="Courier New"/>
      <w:kern w:val="2"/>
      <w:sz w:val="20"/>
      <w:lang w:val="en-US" w:eastAsia="zh-CN"/>
    </w:rPr>
  </w:style>
  <w:style w:type="character" w:customStyle="1" w:styleId="normal0">
    <w:name w:val="normal"/>
    <w:basedOn w:val="DefaultParagraphFont"/>
    <w:uiPriority w:val="99"/>
    <w:rsid w:val="00EA2110"/>
    <w:rPr>
      <w:rFonts w:cs="Times New Roman"/>
    </w:rPr>
  </w:style>
  <w:style w:type="character" w:customStyle="1" w:styleId="hei">
    <w:name w:val="hei"/>
    <w:basedOn w:val="DefaultParagraphFont"/>
    <w:uiPriority w:val="99"/>
    <w:rsid w:val="00EA2110"/>
    <w:rPr>
      <w:rFonts w:cs="Times New Roman"/>
    </w:rPr>
  </w:style>
  <w:style w:type="character" w:customStyle="1" w:styleId="BodyTextIndentChar">
    <w:name w:val="Body Text Indent Char"/>
    <w:link w:val="BodyTextIndent"/>
    <w:uiPriority w:val="99"/>
    <w:locked/>
    <w:rsid w:val="00EA2110"/>
    <w:rPr>
      <w:rFonts w:ascii="Tahoma" w:hAnsi="Tahoma"/>
      <w:kern w:val="2"/>
      <w:sz w:val="24"/>
    </w:rPr>
  </w:style>
  <w:style w:type="character" w:customStyle="1" w:styleId="font51">
    <w:name w:val="font51"/>
    <w:uiPriority w:val="99"/>
    <w:rsid w:val="00EA2110"/>
    <w:rPr>
      <w:rFonts w:ascii="Times New Roman" w:hAnsi="Times New Roman"/>
      <w:color w:val="000000"/>
      <w:sz w:val="21"/>
    </w:rPr>
  </w:style>
  <w:style w:type="character" w:customStyle="1" w:styleId="font21">
    <w:name w:val="font21"/>
    <w:uiPriority w:val="99"/>
    <w:rsid w:val="00EA2110"/>
    <w:rPr>
      <w:rFonts w:ascii="Times New Roman" w:hAnsi="Times New Roman"/>
      <w:color w:val="000000"/>
      <w:sz w:val="18"/>
    </w:rPr>
  </w:style>
  <w:style w:type="character" w:customStyle="1" w:styleId="CharChar0">
    <w:name w:val="纯文本 Char Char"/>
    <w:uiPriority w:val="99"/>
    <w:rsid w:val="00EA2110"/>
    <w:rPr>
      <w:rFonts w:ascii="宋体" w:eastAsia="宋体" w:hAnsi="Courier New"/>
      <w:kern w:val="2"/>
      <w:sz w:val="20"/>
      <w:lang w:val="en-US" w:eastAsia="zh-CN"/>
    </w:rPr>
  </w:style>
  <w:style w:type="character" w:customStyle="1" w:styleId="font71">
    <w:name w:val="font71"/>
    <w:uiPriority w:val="99"/>
    <w:rsid w:val="00EA2110"/>
    <w:rPr>
      <w:rFonts w:ascii="宋体" w:eastAsia="宋体" w:hAnsi="宋体"/>
      <w:color w:val="000000"/>
      <w:sz w:val="21"/>
    </w:rPr>
  </w:style>
  <w:style w:type="character" w:customStyle="1" w:styleId="xilantitf1">
    <w:name w:val="xilan_titf1"/>
    <w:uiPriority w:val="99"/>
    <w:rsid w:val="00EA2110"/>
    <w:rPr>
      <w:rFonts w:ascii="Tahoma" w:hAnsi="Tahoma"/>
      <w:color w:val="333333"/>
      <w:sz w:val="21"/>
    </w:rPr>
  </w:style>
  <w:style w:type="character" w:customStyle="1" w:styleId="font11">
    <w:name w:val="font11"/>
    <w:uiPriority w:val="99"/>
    <w:rsid w:val="00EA2110"/>
    <w:rPr>
      <w:rFonts w:ascii="宋体" w:eastAsia="宋体" w:hAnsi="宋体"/>
      <w:color w:val="000000"/>
      <w:sz w:val="18"/>
    </w:rPr>
  </w:style>
  <w:style w:type="character" w:customStyle="1" w:styleId="font41">
    <w:name w:val="font41"/>
    <w:uiPriority w:val="99"/>
    <w:rsid w:val="00EA2110"/>
    <w:rPr>
      <w:rFonts w:ascii="宋体" w:eastAsia="宋体" w:hAnsi="宋体"/>
      <w:color w:val="000000"/>
      <w:sz w:val="24"/>
      <w:u w:val="none"/>
      <w:vertAlign w:val="superscript"/>
    </w:rPr>
  </w:style>
  <w:style w:type="character" w:customStyle="1" w:styleId="font31">
    <w:name w:val="font31"/>
    <w:uiPriority w:val="99"/>
    <w:rsid w:val="00EA2110"/>
    <w:rPr>
      <w:rFonts w:ascii="Times New Roman" w:hAnsi="Times New Roman"/>
      <w:color w:val="000000"/>
      <w:sz w:val="18"/>
      <w:vertAlign w:val="superscript"/>
    </w:rPr>
  </w:style>
  <w:style w:type="character" w:customStyle="1" w:styleId="font61">
    <w:name w:val="font61"/>
    <w:uiPriority w:val="99"/>
    <w:rsid w:val="00EA2110"/>
    <w:rPr>
      <w:rFonts w:ascii="Times New Roman" w:hAnsi="Times New Roman"/>
      <w:color w:val="000000"/>
      <w:sz w:val="21"/>
      <w:vertAlign w:val="superscript"/>
    </w:rPr>
  </w:style>
  <w:style w:type="character" w:customStyle="1" w:styleId="BalloonTextChar">
    <w:name w:val="Balloon Text Char"/>
    <w:link w:val="BalloonText"/>
    <w:uiPriority w:val="99"/>
    <w:locked/>
    <w:rsid w:val="00EA2110"/>
    <w:rPr>
      <w:rFonts w:ascii="Tahoma" w:hAnsi="Tahoma"/>
      <w:kern w:val="2"/>
      <w:sz w:val="18"/>
    </w:rPr>
  </w:style>
  <w:style w:type="character" w:customStyle="1" w:styleId="style21">
    <w:name w:val="style21"/>
    <w:uiPriority w:val="99"/>
    <w:rsid w:val="00EA2110"/>
    <w:rPr>
      <w:rFonts w:ascii="Tahoma" w:hAnsi="Tahoma"/>
      <w:sz w:val="21"/>
    </w:rPr>
  </w:style>
  <w:style w:type="character" w:customStyle="1" w:styleId="PlainTextChar">
    <w:name w:val="Plain Text Char"/>
    <w:link w:val="PlainText"/>
    <w:uiPriority w:val="99"/>
    <w:locked/>
    <w:rsid w:val="00EA2110"/>
    <w:rPr>
      <w:rFonts w:ascii="宋体" w:eastAsia="宋体" w:hAnsi="Courier New"/>
      <w:kern w:val="2"/>
      <w:sz w:val="20"/>
      <w:lang w:val="en-US" w:eastAsia="zh-CN"/>
    </w:rPr>
  </w:style>
  <w:style w:type="character" w:customStyle="1" w:styleId="FooterChar">
    <w:name w:val="Footer Char"/>
    <w:link w:val="Footer"/>
    <w:uiPriority w:val="99"/>
    <w:locked/>
    <w:rsid w:val="00EA2110"/>
    <w:rPr>
      <w:rFonts w:ascii="Tahoma" w:hAnsi="Tahoma"/>
      <w:kern w:val="2"/>
      <w:sz w:val="18"/>
    </w:rPr>
  </w:style>
  <w:style w:type="character" w:customStyle="1" w:styleId="CharChar3">
    <w:name w:val="估价报告模板_深发展银行处置抵押物相关提示 Char Char"/>
    <w:link w:val="a"/>
    <w:uiPriority w:val="99"/>
    <w:locked/>
    <w:rsid w:val="00EA2110"/>
    <w:rPr>
      <w:rFonts w:ascii="仿宋_GB2312" w:eastAsia="仿宋_GB2312" w:hAnsi="Tahoma"/>
      <w:kern w:val="2"/>
      <w:sz w:val="20"/>
      <w:lang w:val="en-US" w:eastAsia="zh-CN"/>
    </w:rPr>
  </w:style>
  <w:style w:type="character" w:customStyle="1" w:styleId="BodyTextIndent2Char">
    <w:name w:val="Body Text Indent 2 Char"/>
    <w:link w:val="BodyTextIndent2"/>
    <w:uiPriority w:val="99"/>
    <w:locked/>
    <w:rsid w:val="00EA2110"/>
    <w:rPr>
      <w:rFonts w:ascii="仿宋_GB2312" w:eastAsia="仿宋_GB2312"/>
      <w:kern w:val="2"/>
      <w:sz w:val="28"/>
    </w:rPr>
  </w:style>
  <w:style w:type="character" w:customStyle="1" w:styleId="apple-converted-space">
    <w:name w:val="apple-converted-space"/>
    <w:basedOn w:val="DefaultParagraphFont"/>
    <w:uiPriority w:val="99"/>
    <w:rsid w:val="00EA2110"/>
    <w:rPr>
      <w:rFonts w:cs="Times New Roman"/>
    </w:rPr>
  </w:style>
  <w:style w:type="paragraph" w:styleId="TOC6">
    <w:name w:val="toc 6"/>
    <w:basedOn w:val="Normal"/>
    <w:next w:val="Normal"/>
    <w:uiPriority w:val="99"/>
    <w:rsid w:val="00EA2110"/>
    <w:pPr>
      <w:ind w:left="1050"/>
      <w:jc w:val="left"/>
    </w:pPr>
    <w:rPr>
      <w:sz w:val="18"/>
      <w:szCs w:val="18"/>
    </w:rPr>
  </w:style>
  <w:style w:type="paragraph" w:styleId="TOC1">
    <w:name w:val="toc 1"/>
    <w:basedOn w:val="Normal"/>
    <w:next w:val="Normal"/>
    <w:uiPriority w:val="99"/>
    <w:rsid w:val="00EA2110"/>
    <w:pPr>
      <w:tabs>
        <w:tab w:val="right" w:leader="dot" w:pos="8296"/>
      </w:tabs>
      <w:spacing w:line="370" w:lineRule="exact"/>
      <w:jc w:val="left"/>
    </w:pPr>
    <w:rPr>
      <w:rFonts w:ascii="黑体" w:eastAsia="黑体" w:hAnsi="黑体"/>
      <w:bCs/>
      <w:caps/>
      <w:sz w:val="24"/>
    </w:rPr>
  </w:style>
  <w:style w:type="paragraph" w:styleId="BodyTextIndent2">
    <w:name w:val="Body Text Indent 2"/>
    <w:basedOn w:val="Normal"/>
    <w:link w:val="BodyTextIndent2Char"/>
    <w:uiPriority w:val="99"/>
    <w:rsid w:val="00EA2110"/>
    <w:pPr>
      <w:spacing w:line="600" w:lineRule="exact"/>
      <w:ind w:firstLineChars="200" w:firstLine="560"/>
    </w:pPr>
    <w:rPr>
      <w:rFonts w:ascii="仿宋_GB2312" w:eastAsia="仿宋_GB2312"/>
      <w:sz w:val="28"/>
      <w:szCs w:val="28"/>
    </w:rPr>
  </w:style>
  <w:style w:type="character" w:customStyle="1" w:styleId="BodyTextIndent2Char1">
    <w:name w:val="Body Text Indent 2 Char1"/>
    <w:basedOn w:val="DefaultParagraphFont"/>
    <w:link w:val="BodyTextIndent2"/>
    <w:uiPriority w:val="99"/>
    <w:semiHidden/>
    <w:rsid w:val="005861AD"/>
    <w:rPr>
      <w:szCs w:val="24"/>
    </w:rPr>
  </w:style>
  <w:style w:type="paragraph" w:styleId="TOC5">
    <w:name w:val="toc 5"/>
    <w:basedOn w:val="Normal"/>
    <w:next w:val="Normal"/>
    <w:uiPriority w:val="99"/>
    <w:rsid w:val="00EA2110"/>
    <w:pPr>
      <w:ind w:left="840"/>
      <w:jc w:val="left"/>
    </w:pPr>
    <w:rPr>
      <w:sz w:val="18"/>
      <w:szCs w:val="18"/>
    </w:rPr>
  </w:style>
  <w:style w:type="paragraph" w:styleId="BodyTextIndent">
    <w:name w:val="Body Text Indent"/>
    <w:basedOn w:val="Normal"/>
    <w:link w:val="BodyTextIndentChar"/>
    <w:uiPriority w:val="99"/>
    <w:rsid w:val="00EA2110"/>
    <w:pPr>
      <w:spacing w:after="120"/>
      <w:ind w:leftChars="200" w:left="420"/>
    </w:pPr>
    <w:rPr>
      <w:rFonts w:ascii="Tahoma" w:hAnsi="Tahoma"/>
    </w:rPr>
  </w:style>
  <w:style w:type="character" w:customStyle="1" w:styleId="BodyTextIndentChar1">
    <w:name w:val="Body Text Indent Char1"/>
    <w:basedOn w:val="DefaultParagraphFont"/>
    <w:link w:val="BodyTextIndent"/>
    <w:uiPriority w:val="99"/>
    <w:semiHidden/>
    <w:rsid w:val="005861AD"/>
    <w:rPr>
      <w:szCs w:val="24"/>
    </w:rPr>
  </w:style>
  <w:style w:type="paragraph" w:styleId="NormalWeb">
    <w:name w:val="Normal (Web)"/>
    <w:basedOn w:val="Normal"/>
    <w:uiPriority w:val="99"/>
    <w:rsid w:val="00EA2110"/>
    <w:pPr>
      <w:widowControl/>
      <w:spacing w:before="100" w:beforeAutospacing="1" w:after="100" w:afterAutospacing="1"/>
      <w:jc w:val="left"/>
    </w:pPr>
    <w:rPr>
      <w:rFonts w:ascii="宋体" w:hAnsi="宋体"/>
      <w:kern w:val="0"/>
      <w:sz w:val="24"/>
    </w:rPr>
  </w:style>
  <w:style w:type="paragraph" w:styleId="TOC8">
    <w:name w:val="toc 8"/>
    <w:basedOn w:val="Normal"/>
    <w:next w:val="Normal"/>
    <w:uiPriority w:val="99"/>
    <w:rsid w:val="00EA2110"/>
    <w:pPr>
      <w:ind w:left="1470"/>
      <w:jc w:val="left"/>
    </w:pPr>
    <w:rPr>
      <w:sz w:val="18"/>
      <w:szCs w:val="18"/>
    </w:rPr>
  </w:style>
  <w:style w:type="paragraph" w:styleId="Closing">
    <w:name w:val="Closing"/>
    <w:basedOn w:val="Normal"/>
    <w:link w:val="ClosingChar"/>
    <w:uiPriority w:val="99"/>
    <w:rsid w:val="00EA2110"/>
    <w:pPr>
      <w:ind w:leftChars="2100" w:left="100"/>
    </w:pPr>
    <w:rPr>
      <w:rFonts w:ascii="宋体" w:hAnsi="Courier New"/>
      <w:sz w:val="28"/>
      <w:szCs w:val="28"/>
    </w:rPr>
  </w:style>
  <w:style w:type="character" w:customStyle="1" w:styleId="ClosingChar">
    <w:name w:val="Closing Char"/>
    <w:basedOn w:val="DefaultParagraphFont"/>
    <w:link w:val="Closing"/>
    <w:uiPriority w:val="99"/>
    <w:semiHidden/>
    <w:rsid w:val="005861AD"/>
    <w:rPr>
      <w:szCs w:val="24"/>
    </w:rPr>
  </w:style>
  <w:style w:type="paragraph" w:styleId="TOC3">
    <w:name w:val="toc 3"/>
    <w:basedOn w:val="Normal"/>
    <w:next w:val="Normal"/>
    <w:uiPriority w:val="99"/>
    <w:rsid w:val="00EA2110"/>
    <w:pPr>
      <w:spacing w:line="360" w:lineRule="auto"/>
      <w:ind w:left="420"/>
      <w:jc w:val="left"/>
    </w:pPr>
    <w:rPr>
      <w:rFonts w:eastAsia="黑体"/>
      <w:iCs/>
      <w:sz w:val="20"/>
      <w:szCs w:val="20"/>
    </w:rPr>
  </w:style>
  <w:style w:type="paragraph" w:styleId="CommentText">
    <w:name w:val="annotation text"/>
    <w:basedOn w:val="Normal"/>
    <w:link w:val="CommentTextChar"/>
    <w:uiPriority w:val="99"/>
    <w:rsid w:val="00EA2110"/>
    <w:pPr>
      <w:jc w:val="left"/>
    </w:pPr>
  </w:style>
  <w:style w:type="character" w:customStyle="1" w:styleId="CommentTextChar">
    <w:name w:val="Comment Text Char"/>
    <w:basedOn w:val="DefaultParagraphFont"/>
    <w:link w:val="CommentText"/>
    <w:uiPriority w:val="99"/>
    <w:semiHidden/>
    <w:rsid w:val="005861AD"/>
    <w:rPr>
      <w:szCs w:val="24"/>
    </w:rPr>
  </w:style>
  <w:style w:type="paragraph" w:styleId="TOC9">
    <w:name w:val="toc 9"/>
    <w:basedOn w:val="Normal"/>
    <w:next w:val="Normal"/>
    <w:uiPriority w:val="99"/>
    <w:rsid w:val="00EA2110"/>
    <w:pPr>
      <w:ind w:left="1680"/>
      <w:jc w:val="left"/>
    </w:pPr>
    <w:rPr>
      <w:sz w:val="18"/>
      <w:szCs w:val="18"/>
    </w:rPr>
  </w:style>
  <w:style w:type="paragraph" w:styleId="Date">
    <w:name w:val="Date"/>
    <w:basedOn w:val="Normal"/>
    <w:next w:val="Normal"/>
    <w:link w:val="DateChar"/>
    <w:uiPriority w:val="99"/>
    <w:rsid w:val="00EA2110"/>
    <w:pPr>
      <w:ind w:leftChars="2500" w:left="100"/>
    </w:pPr>
  </w:style>
  <w:style w:type="character" w:customStyle="1" w:styleId="DateChar">
    <w:name w:val="Date Char"/>
    <w:basedOn w:val="DefaultParagraphFont"/>
    <w:link w:val="Date"/>
    <w:uiPriority w:val="99"/>
    <w:semiHidden/>
    <w:rsid w:val="005861AD"/>
    <w:rPr>
      <w:szCs w:val="24"/>
    </w:rPr>
  </w:style>
  <w:style w:type="paragraph" w:styleId="DocumentMap">
    <w:name w:val="Document Map"/>
    <w:basedOn w:val="Normal"/>
    <w:link w:val="DocumentMapChar"/>
    <w:uiPriority w:val="99"/>
    <w:rsid w:val="00EA2110"/>
    <w:pPr>
      <w:shd w:val="clear" w:color="auto" w:fill="000080"/>
    </w:pPr>
  </w:style>
  <w:style w:type="character" w:customStyle="1" w:styleId="DocumentMapChar">
    <w:name w:val="Document Map Char"/>
    <w:basedOn w:val="DefaultParagraphFont"/>
    <w:link w:val="DocumentMap"/>
    <w:uiPriority w:val="99"/>
    <w:semiHidden/>
    <w:rsid w:val="005861AD"/>
    <w:rPr>
      <w:sz w:val="0"/>
      <w:szCs w:val="0"/>
    </w:rPr>
  </w:style>
  <w:style w:type="paragraph" w:styleId="BodyTextIndent3">
    <w:name w:val="Body Text Indent 3"/>
    <w:basedOn w:val="Normal"/>
    <w:link w:val="BodyTextIndent3Char"/>
    <w:uiPriority w:val="99"/>
    <w:rsid w:val="00EA2110"/>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5861AD"/>
    <w:rPr>
      <w:sz w:val="16"/>
      <w:szCs w:val="16"/>
    </w:rPr>
  </w:style>
  <w:style w:type="paragraph" w:styleId="TOC4">
    <w:name w:val="toc 4"/>
    <w:basedOn w:val="Normal"/>
    <w:next w:val="Normal"/>
    <w:uiPriority w:val="99"/>
    <w:rsid w:val="00EA2110"/>
    <w:pPr>
      <w:ind w:left="630"/>
      <w:jc w:val="left"/>
    </w:pPr>
    <w:rPr>
      <w:sz w:val="18"/>
      <w:szCs w:val="18"/>
    </w:rPr>
  </w:style>
  <w:style w:type="paragraph" w:styleId="PlainText">
    <w:name w:val="Plain Text"/>
    <w:basedOn w:val="Normal"/>
    <w:link w:val="PlainTextChar"/>
    <w:uiPriority w:val="99"/>
    <w:rsid w:val="00EA2110"/>
    <w:rPr>
      <w:rFonts w:ascii="宋体" w:hAnsi="Courier New"/>
      <w:szCs w:val="20"/>
    </w:rPr>
  </w:style>
  <w:style w:type="character" w:customStyle="1" w:styleId="PlainTextChar1">
    <w:name w:val="Plain Text Char1"/>
    <w:basedOn w:val="DefaultParagraphFont"/>
    <w:link w:val="PlainText"/>
    <w:uiPriority w:val="99"/>
    <w:semiHidden/>
    <w:rsid w:val="005861AD"/>
    <w:rPr>
      <w:rFonts w:ascii="宋体" w:hAnsi="Courier New" w:cs="Courier New"/>
      <w:szCs w:val="21"/>
    </w:rPr>
  </w:style>
  <w:style w:type="paragraph" w:styleId="TOC7">
    <w:name w:val="toc 7"/>
    <w:basedOn w:val="Normal"/>
    <w:next w:val="Normal"/>
    <w:uiPriority w:val="99"/>
    <w:rsid w:val="00EA2110"/>
    <w:pPr>
      <w:ind w:left="1260"/>
      <w:jc w:val="left"/>
    </w:pPr>
    <w:rPr>
      <w:sz w:val="18"/>
      <w:szCs w:val="18"/>
    </w:rPr>
  </w:style>
  <w:style w:type="paragraph" w:styleId="TOC2">
    <w:name w:val="toc 2"/>
    <w:basedOn w:val="Normal"/>
    <w:next w:val="Normal"/>
    <w:uiPriority w:val="99"/>
    <w:rsid w:val="00EA2110"/>
    <w:pPr>
      <w:tabs>
        <w:tab w:val="right" w:leader="dot" w:pos="8303"/>
      </w:tabs>
      <w:spacing w:line="320" w:lineRule="exact"/>
      <w:ind w:left="210"/>
      <w:jc w:val="left"/>
    </w:pPr>
    <w:rPr>
      <w:rFonts w:eastAsia="黑体"/>
      <w:smallCaps/>
      <w:szCs w:val="20"/>
    </w:rPr>
  </w:style>
  <w:style w:type="paragraph" w:styleId="Header">
    <w:name w:val="header"/>
    <w:basedOn w:val="Normal"/>
    <w:link w:val="HeaderChar"/>
    <w:uiPriority w:val="99"/>
    <w:rsid w:val="00EA2110"/>
    <w:pPr>
      <w:pBdr>
        <w:bottom w:val="single" w:sz="6" w:space="1" w:color="auto"/>
      </w:pBdr>
      <w:tabs>
        <w:tab w:val="center" w:pos="4153"/>
        <w:tab w:val="right" w:pos="8306"/>
      </w:tabs>
      <w:snapToGrid w:val="0"/>
      <w:jc w:val="center"/>
    </w:pPr>
    <w:rPr>
      <w:rFonts w:ascii="Tahoma" w:hAnsi="Tahoma"/>
      <w:sz w:val="18"/>
      <w:szCs w:val="18"/>
    </w:rPr>
  </w:style>
  <w:style w:type="character" w:customStyle="1" w:styleId="HeaderChar1">
    <w:name w:val="Header Char1"/>
    <w:basedOn w:val="DefaultParagraphFont"/>
    <w:link w:val="Header"/>
    <w:uiPriority w:val="99"/>
    <w:semiHidden/>
    <w:rsid w:val="005861AD"/>
    <w:rPr>
      <w:sz w:val="18"/>
      <w:szCs w:val="18"/>
    </w:rPr>
  </w:style>
  <w:style w:type="paragraph" w:styleId="BalloonText">
    <w:name w:val="Balloon Text"/>
    <w:basedOn w:val="Normal"/>
    <w:link w:val="BalloonTextChar"/>
    <w:uiPriority w:val="99"/>
    <w:rsid w:val="00EA2110"/>
    <w:rPr>
      <w:rFonts w:ascii="Tahoma" w:hAnsi="Tahoma"/>
      <w:sz w:val="18"/>
      <w:szCs w:val="18"/>
    </w:rPr>
  </w:style>
  <w:style w:type="character" w:customStyle="1" w:styleId="BalloonTextChar1">
    <w:name w:val="Balloon Text Char1"/>
    <w:basedOn w:val="DefaultParagraphFont"/>
    <w:link w:val="BalloonText"/>
    <w:uiPriority w:val="99"/>
    <w:semiHidden/>
    <w:rsid w:val="005861AD"/>
    <w:rPr>
      <w:sz w:val="0"/>
      <w:szCs w:val="0"/>
    </w:rPr>
  </w:style>
  <w:style w:type="paragraph" w:styleId="Footer">
    <w:name w:val="footer"/>
    <w:basedOn w:val="Normal"/>
    <w:link w:val="FooterChar"/>
    <w:uiPriority w:val="99"/>
    <w:rsid w:val="00EA2110"/>
    <w:pPr>
      <w:tabs>
        <w:tab w:val="center" w:pos="4153"/>
        <w:tab w:val="right" w:pos="8306"/>
      </w:tabs>
      <w:snapToGrid w:val="0"/>
      <w:jc w:val="left"/>
    </w:pPr>
    <w:rPr>
      <w:rFonts w:ascii="Tahoma" w:hAnsi="Tahoma"/>
      <w:sz w:val="18"/>
      <w:szCs w:val="18"/>
    </w:rPr>
  </w:style>
  <w:style w:type="character" w:customStyle="1" w:styleId="FooterChar1">
    <w:name w:val="Footer Char1"/>
    <w:basedOn w:val="DefaultParagraphFont"/>
    <w:link w:val="Footer"/>
    <w:uiPriority w:val="99"/>
    <w:semiHidden/>
    <w:rsid w:val="005861AD"/>
    <w:rPr>
      <w:sz w:val="18"/>
      <w:szCs w:val="18"/>
    </w:rPr>
  </w:style>
  <w:style w:type="paragraph" w:customStyle="1" w:styleId="1121215">
    <w:name w:val="样式 标题 1 + 宋体 四号 居中 段前: 12 磅 段后: 12 磅 行距: 1.5 倍行距"/>
    <w:basedOn w:val="Heading1"/>
    <w:uiPriority w:val="99"/>
    <w:rsid w:val="00EA2110"/>
    <w:pPr>
      <w:spacing w:before="120" w:after="240" w:line="360" w:lineRule="auto"/>
      <w:jc w:val="center"/>
    </w:pPr>
    <w:rPr>
      <w:rFonts w:ascii="宋体" w:hAnsi="宋体"/>
      <w:kern w:val="0"/>
      <w:sz w:val="28"/>
      <w:szCs w:val="20"/>
    </w:rPr>
  </w:style>
  <w:style w:type="paragraph" w:customStyle="1" w:styleId="a0">
    <w:name w:val="注解文字"/>
    <w:basedOn w:val="Normal"/>
    <w:uiPriority w:val="99"/>
    <w:rsid w:val="00EA2110"/>
    <w:pPr>
      <w:autoSpaceDE w:val="0"/>
      <w:autoSpaceDN w:val="0"/>
      <w:adjustRightInd w:val="0"/>
      <w:spacing w:line="312" w:lineRule="atLeast"/>
      <w:textAlignment w:val="baseline"/>
    </w:pPr>
    <w:rPr>
      <w:rFonts w:ascii="宋体" w:hAnsi="Tms Rmn"/>
      <w:kern w:val="0"/>
      <w:szCs w:val="20"/>
    </w:rPr>
  </w:style>
  <w:style w:type="paragraph" w:customStyle="1" w:styleId="Style40">
    <w:name w:val="_Style 40"/>
    <w:basedOn w:val="Normal"/>
    <w:uiPriority w:val="99"/>
    <w:rsid w:val="00EA2110"/>
    <w:rPr>
      <w:rFonts w:ascii="Tahoma" w:hAnsi="Tahoma"/>
      <w:sz w:val="24"/>
    </w:rPr>
  </w:style>
  <w:style w:type="paragraph" w:customStyle="1" w:styleId="1">
    <w:name w:val="样式1"/>
    <w:basedOn w:val="Heading1"/>
    <w:uiPriority w:val="99"/>
    <w:rsid w:val="00EA2110"/>
    <w:pPr>
      <w:jc w:val="center"/>
    </w:pPr>
    <w:rPr>
      <w:sz w:val="36"/>
      <w:szCs w:val="36"/>
    </w:rPr>
  </w:style>
  <w:style w:type="paragraph" w:customStyle="1" w:styleId="a">
    <w:name w:val="估价报告模板_深发展银行处置抵押物相关提示"/>
    <w:basedOn w:val="Normal"/>
    <w:link w:val="CharChar3"/>
    <w:uiPriority w:val="99"/>
    <w:rsid w:val="00EA2110"/>
    <w:pPr>
      <w:spacing w:line="440" w:lineRule="exact"/>
      <w:ind w:firstLineChars="200" w:firstLine="560"/>
      <w:jc w:val="left"/>
    </w:pPr>
    <w:rPr>
      <w:rFonts w:ascii="仿宋_GB2312" w:eastAsia="仿宋_GB2312" w:hAnsi="Tahoma" w:cs="宋体"/>
      <w:sz w:val="28"/>
      <w:szCs w:val="20"/>
    </w:rPr>
  </w:style>
  <w:style w:type="paragraph" w:customStyle="1" w:styleId="0505">
    <w:name w:val="估价报告模板_三级标题 + 段后: 0.5 行 + 段后: 0.5 行"/>
    <w:basedOn w:val="Normal"/>
    <w:uiPriority w:val="99"/>
    <w:rsid w:val="00EA2110"/>
    <w:pPr>
      <w:spacing w:line="440" w:lineRule="exact"/>
      <w:ind w:firstLineChars="200" w:firstLine="200"/>
      <w:jc w:val="left"/>
      <w:outlineLvl w:val="2"/>
    </w:pPr>
    <w:rPr>
      <w:rFonts w:ascii="仿宋_GB2312" w:eastAsia="仿宋_GB2312" w:hAnsi="宋体" w:cs="宋体"/>
      <w:b/>
      <w:bCs/>
      <w:kern w:val="0"/>
      <w:sz w:val="28"/>
      <w:szCs w:val="20"/>
    </w:rPr>
  </w:style>
  <w:style w:type="paragraph" w:customStyle="1" w:styleId="10">
    <w:name w:val="正文1"/>
    <w:uiPriority w:val="99"/>
    <w:rsid w:val="00EA2110"/>
    <w:pPr>
      <w:widowControl w:val="0"/>
      <w:adjustRightInd w:val="0"/>
      <w:spacing w:line="360" w:lineRule="atLeast"/>
      <w:textAlignment w:val="baseline"/>
    </w:pPr>
    <w:rPr>
      <w:rFonts w:ascii="宋体"/>
      <w:kern w:val="0"/>
      <w:sz w:val="34"/>
      <w:szCs w:val="20"/>
    </w:rPr>
  </w:style>
  <w:style w:type="paragraph" w:customStyle="1" w:styleId="11">
    <w:name w:val="估价报告模板_表格1"/>
    <w:basedOn w:val="Normal"/>
    <w:uiPriority w:val="99"/>
    <w:rsid w:val="00EA2110"/>
    <w:pPr>
      <w:widowControl/>
      <w:spacing w:line="300" w:lineRule="exact"/>
      <w:jc w:val="center"/>
    </w:pPr>
    <w:rPr>
      <w:rFonts w:ascii="仿宋_GB2312" w:eastAsia="仿宋_GB2312" w:hAnsi="宋体" w:cs="宋体"/>
      <w:kern w:val="0"/>
      <w:szCs w:val="21"/>
    </w:rPr>
  </w:style>
  <w:style w:type="paragraph" w:customStyle="1" w:styleId="CharCharCharChar">
    <w:name w:val="Char Char Char Char"/>
    <w:basedOn w:val="Normal"/>
    <w:uiPriority w:val="99"/>
    <w:rsid w:val="00EA2110"/>
    <w:rPr>
      <w:sz w:val="32"/>
      <w:szCs w:val="32"/>
    </w:rPr>
  </w:style>
  <w:style w:type="paragraph" w:customStyle="1" w:styleId="CharCharChar1CharCharCharChar">
    <w:name w:val="Char Char Char1 Char Char Char Char"/>
    <w:basedOn w:val="Normal"/>
    <w:uiPriority w:val="99"/>
    <w:rsid w:val="00EA2110"/>
    <w:rPr>
      <w:rFonts w:ascii="宋体" w:hAnsi="宋体" w:cs="Courier New"/>
      <w:sz w:val="32"/>
      <w:szCs w:val="32"/>
    </w:rPr>
  </w:style>
  <w:style w:type="paragraph" w:customStyle="1" w:styleId="a1">
    <w:name w:val="纯文本 + 四号"/>
    <w:basedOn w:val="PlainText"/>
    <w:uiPriority w:val="99"/>
    <w:rsid w:val="00EA2110"/>
    <w:pPr>
      <w:spacing w:line="560" w:lineRule="exact"/>
      <w:ind w:firstLineChars="200" w:firstLine="560"/>
    </w:pPr>
    <w:rPr>
      <w:sz w:val="28"/>
      <w:szCs w:val="28"/>
    </w:rPr>
  </w:style>
  <w:style w:type="paragraph" w:customStyle="1" w:styleId="ParaCharCharCharCharCharCharChar">
    <w:name w:val="默认段落字体 Para Char Char Char Char Char Char Char"/>
    <w:basedOn w:val="Normal"/>
    <w:uiPriority w:val="99"/>
    <w:rsid w:val="00EA2110"/>
    <w:rPr>
      <w:rFonts w:ascii="Tahoma" w:hAnsi="Tahoma"/>
      <w:sz w:val="24"/>
      <w:szCs w:val="20"/>
    </w:rPr>
  </w:style>
  <w:style w:type="paragraph" w:customStyle="1" w:styleId="a2">
    <w:name w:val="估价报告_估价师签字"/>
    <w:basedOn w:val="PlainText"/>
    <w:uiPriority w:val="99"/>
    <w:rsid w:val="00EA2110"/>
    <w:pPr>
      <w:spacing w:before="120" w:after="120" w:line="440" w:lineRule="exact"/>
      <w:jc w:val="center"/>
    </w:pPr>
    <w:rPr>
      <w:rFonts w:ascii="仿宋_GB2312" w:eastAsia="仿宋_GB2312" w:cs="宋体"/>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baike.baidu.com/view/1903.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16</Pages>
  <Words>1529</Words>
  <Characters>8718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 员 手 册</dc:title>
  <dc:subject/>
  <dc:creator>Administrators</dc:creator>
  <cp:keywords/>
  <dc:description/>
  <cp:lastModifiedBy>b10</cp:lastModifiedBy>
  <cp:revision>6</cp:revision>
  <cp:lastPrinted>2019-07-31T01:31:00Z</cp:lastPrinted>
  <dcterms:created xsi:type="dcterms:W3CDTF">2020-02-13T07:11:00Z</dcterms:created>
  <dcterms:modified xsi:type="dcterms:W3CDTF">2020-05-28T08:05:00Z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