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72"/>
        </w:rPr>
      </w:pPr>
      <w:r>
        <w:rPr>
          <w:rFonts w:hint="eastAsia" w:ascii="宋体" w:hAnsi="宋体"/>
          <w:b/>
          <w:sz w:val="72"/>
        </w:rPr>
        <w:t>房地产估价报告</w:t>
      </w:r>
    </w:p>
    <w:p>
      <w:pPr>
        <w:tabs>
          <w:tab w:val="left" w:pos="1500"/>
        </w:tabs>
        <w:ind w:firstLine="2520" w:firstLineChars="1200"/>
        <w:rPr>
          <w:rFonts w:hint="eastAsia" w:ascii="宋体" w:hAnsi="宋体"/>
        </w:rPr>
      </w:pPr>
    </w:p>
    <w:p>
      <w:pPr>
        <w:tabs>
          <w:tab w:val="left" w:pos="1500"/>
        </w:tabs>
        <w:ind w:firstLine="2730" w:firstLineChars="1300"/>
        <w:rPr>
          <w:rFonts w:hint="eastAsia" w:ascii="宋体" w:hAnsi="宋体"/>
        </w:rPr>
      </w:pPr>
    </w:p>
    <w:p>
      <w:pPr>
        <w:jc w:val="center"/>
        <w:rPr>
          <w:rFonts w:hint="eastAsia" w:ascii="宋体" w:hAnsi="宋体"/>
          <w:b/>
          <w:sz w:val="28"/>
          <w:szCs w:val="28"/>
        </w:rPr>
      </w:pPr>
    </w:p>
    <w:p>
      <w:pPr>
        <w:jc w:val="both"/>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p>
    <w:p>
      <w:pPr>
        <w:rPr>
          <w:rFonts w:hint="eastAsia" w:ascii="宋体" w:hAnsi="宋体"/>
          <w:b/>
          <w:sz w:val="24"/>
        </w:rPr>
      </w:pPr>
      <w:r>
        <w:rPr>
          <w:rFonts w:hint="eastAsia" w:ascii="宋体" w:hAnsi="宋体"/>
          <w:b/>
          <w:sz w:val="24"/>
        </w:rPr>
        <w:t xml:space="preserve">   估价报告编号：辽华房估报字</w:t>
      </w:r>
      <w:r>
        <w:rPr>
          <w:rFonts w:hint="eastAsia" w:ascii="宋体" w:hAnsi="宋体" w:eastAsia="宋体" w:cs="宋体"/>
          <w:b/>
          <w:sz w:val="24"/>
        </w:rPr>
        <w:t>【</w:t>
      </w:r>
      <w:r>
        <w:rPr>
          <w:rFonts w:hint="default" w:ascii="Times New Roman" w:hAnsi="Times New Roman" w:cs="Times New Roman"/>
          <w:b/>
          <w:sz w:val="24"/>
        </w:rPr>
        <w:t>201</w:t>
      </w:r>
      <w:r>
        <w:rPr>
          <w:rFonts w:hint="default" w:ascii="Times New Roman" w:hAnsi="Times New Roman" w:cs="Times New Roman"/>
          <w:b/>
          <w:sz w:val="24"/>
          <w:lang w:val="en-US" w:eastAsia="zh-CN"/>
        </w:rPr>
        <w:t>9</w:t>
      </w:r>
      <w:r>
        <w:rPr>
          <w:rFonts w:hint="eastAsia" w:ascii="宋体" w:hAnsi="宋体" w:eastAsia="宋体" w:cs="宋体"/>
          <w:b/>
          <w:sz w:val="24"/>
        </w:rPr>
        <w:t>】</w:t>
      </w:r>
      <w:r>
        <w:rPr>
          <w:rFonts w:hint="eastAsia" w:ascii="宋体" w:hAnsi="宋体"/>
          <w:b/>
          <w:sz w:val="24"/>
        </w:rPr>
        <w:t>第</w:t>
      </w:r>
      <w:r>
        <w:rPr>
          <w:rFonts w:hint="default" w:ascii="Times New Roman" w:hAnsi="Times New Roman" w:cs="Times New Roman"/>
          <w:b/>
          <w:sz w:val="24"/>
          <w:lang w:val="en-US" w:eastAsia="zh-CN"/>
        </w:rPr>
        <w:t>1015</w:t>
      </w:r>
      <w:r>
        <w:rPr>
          <w:rFonts w:hint="eastAsia" w:ascii="宋体" w:hAnsi="宋体"/>
          <w:b/>
          <w:sz w:val="24"/>
        </w:rPr>
        <w:t xml:space="preserve">号 </w:t>
      </w:r>
    </w:p>
    <w:p>
      <w:pPr>
        <w:rPr>
          <w:rFonts w:hint="eastAsia" w:ascii="宋体" w:hAnsi="宋体"/>
          <w:b/>
          <w:sz w:val="24"/>
        </w:rPr>
      </w:pPr>
    </w:p>
    <w:p>
      <w:pPr>
        <w:spacing w:line="600" w:lineRule="exact"/>
        <w:ind w:left="2168" w:leftChars="0" w:hanging="2168" w:hangingChars="900"/>
        <w:rPr>
          <w:rFonts w:hint="eastAsia"/>
          <w:b/>
          <w:bCs/>
          <w:sz w:val="24"/>
        </w:rPr>
      </w:pPr>
      <w:r>
        <w:rPr>
          <w:rFonts w:hint="eastAsia"/>
          <w:b/>
          <w:bCs/>
          <w:sz w:val="24"/>
        </w:rPr>
        <w:t xml:space="preserve">   估价项目名称：</w:t>
      </w:r>
      <w:r>
        <w:rPr>
          <w:rFonts w:hint="eastAsia"/>
          <w:b/>
          <w:bCs/>
          <w:sz w:val="24"/>
          <w:lang w:val="en-US" w:eastAsia="zh-CN"/>
        </w:rPr>
        <w:t>辽宁省辽阳市中级人民法院办理案件涉及李丽红、闵学斌</w:t>
      </w:r>
      <w:r>
        <w:rPr>
          <w:rFonts w:hint="eastAsia"/>
          <w:b/>
          <w:bCs/>
          <w:sz w:val="24"/>
        </w:rPr>
        <w:t>所有的坐落于</w:t>
      </w:r>
      <w:r>
        <w:rPr>
          <w:rFonts w:hint="eastAsia"/>
          <w:b/>
          <w:bCs/>
          <w:sz w:val="24"/>
          <w:lang w:eastAsia="zh-CN"/>
        </w:rPr>
        <w:t>辽阳市</w:t>
      </w:r>
      <w:r>
        <w:rPr>
          <w:rFonts w:hint="eastAsia"/>
          <w:b/>
          <w:bCs/>
          <w:sz w:val="24"/>
          <w:lang w:val="en-US" w:eastAsia="zh-CN"/>
        </w:rPr>
        <w:t>文圣区太子河路</w:t>
      </w:r>
      <w:r>
        <w:rPr>
          <w:rFonts w:hint="eastAsia"/>
          <w:b/>
          <w:bCs/>
          <w:sz w:val="24"/>
          <w:lang w:eastAsia="zh-CN"/>
        </w:rPr>
        <w:t>“</w:t>
      </w:r>
      <w:r>
        <w:rPr>
          <w:rFonts w:hint="eastAsia"/>
          <w:b/>
          <w:bCs/>
          <w:sz w:val="24"/>
          <w:lang w:val="en-US" w:eastAsia="zh-CN"/>
        </w:rPr>
        <w:t>恒大绿洲</w:t>
      </w:r>
      <w:r>
        <w:rPr>
          <w:rFonts w:hint="eastAsia"/>
          <w:b/>
          <w:bCs/>
          <w:sz w:val="24"/>
          <w:lang w:eastAsia="zh-CN"/>
        </w:rPr>
        <w:t>”</w:t>
      </w:r>
      <w:r>
        <w:rPr>
          <w:rFonts w:hint="eastAsia"/>
          <w:b/>
          <w:bCs/>
          <w:sz w:val="24"/>
          <w:lang w:val="en-US" w:eastAsia="zh-CN"/>
        </w:rPr>
        <w:t>21-19号楼1单元25层50号</w:t>
      </w:r>
      <w:r>
        <w:rPr>
          <w:rFonts w:hint="eastAsia"/>
          <w:b/>
          <w:bCs/>
          <w:sz w:val="24"/>
        </w:rPr>
        <w:t>的1 处</w:t>
      </w:r>
      <w:r>
        <w:rPr>
          <w:rFonts w:hint="eastAsia"/>
          <w:b/>
          <w:bCs/>
          <w:sz w:val="24"/>
          <w:lang w:val="en-US" w:eastAsia="zh-CN"/>
        </w:rPr>
        <w:t>住宅</w:t>
      </w:r>
      <w:r>
        <w:rPr>
          <w:rFonts w:hint="eastAsia"/>
          <w:b/>
          <w:bCs/>
          <w:sz w:val="24"/>
        </w:rPr>
        <w:t>价值评估</w:t>
      </w:r>
    </w:p>
    <w:p>
      <w:pPr>
        <w:tabs>
          <w:tab w:val="left" w:pos="1500"/>
        </w:tabs>
        <w:spacing w:line="300" w:lineRule="exact"/>
        <w:rPr>
          <w:b/>
          <w:bCs/>
          <w:sz w:val="24"/>
        </w:rPr>
      </w:pPr>
    </w:p>
    <w:p>
      <w:pPr>
        <w:tabs>
          <w:tab w:val="left" w:pos="0"/>
        </w:tabs>
        <w:spacing w:line="300" w:lineRule="exact"/>
        <w:ind w:firstLine="359" w:firstLineChars="149"/>
        <w:rPr>
          <w:rFonts w:hint="eastAsia"/>
          <w:b/>
          <w:bCs/>
          <w:sz w:val="24"/>
        </w:rPr>
      </w:pPr>
      <w:r>
        <w:rPr>
          <w:rFonts w:hint="eastAsia"/>
          <w:b/>
          <w:bCs/>
          <w:sz w:val="24"/>
        </w:rPr>
        <w:t>估价委托人：</w:t>
      </w:r>
      <w:r>
        <w:rPr>
          <w:rFonts w:hint="eastAsia" w:ascii="宋体" w:hAnsi="宋体" w:cs="宋体"/>
          <w:b/>
          <w:bCs/>
          <w:sz w:val="24"/>
        </w:rPr>
        <w:t>辽宁省辽阳市中级人民法院</w:t>
      </w:r>
    </w:p>
    <w:p>
      <w:pPr>
        <w:tabs>
          <w:tab w:val="left" w:pos="1500"/>
        </w:tabs>
        <w:spacing w:line="300" w:lineRule="exact"/>
        <w:ind w:firstLine="359" w:firstLineChars="149"/>
        <w:rPr>
          <w:rFonts w:hint="eastAsia"/>
          <w:b/>
          <w:bCs/>
          <w:sz w:val="24"/>
        </w:rPr>
      </w:pPr>
    </w:p>
    <w:p>
      <w:pPr>
        <w:tabs>
          <w:tab w:val="left" w:pos="0"/>
        </w:tabs>
        <w:spacing w:line="300" w:lineRule="exact"/>
        <w:ind w:firstLine="359" w:firstLineChars="149"/>
        <w:rPr>
          <w:rFonts w:hint="eastAsia"/>
          <w:b/>
          <w:bCs/>
          <w:sz w:val="24"/>
        </w:rPr>
      </w:pPr>
      <w:r>
        <w:rPr>
          <w:rFonts w:hint="eastAsia"/>
          <w:b/>
          <w:bCs/>
          <w:sz w:val="24"/>
        </w:rPr>
        <w:t>估价机构：辽宁华阳资产房产土地评估有限公司</w:t>
      </w:r>
    </w:p>
    <w:p>
      <w:pPr>
        <w:tabs>
          <w:tab w:val="left" w:pos="1500"/>
        </w:tabs>
        <w:spacing w:line="300" w:lineRule="exact"/>
        <w:ind w:firstLine="359" w:firstLineChars="149"/>
        <w:rPr>
          <w:rFonts w:hint="eastAsia"/>
          <w:b/>
          <w:bCs/>
          <w:sz w:val="24"/>
        </w:rPr>
      </w:pPr>
    </w:p>
    <w:p>
      <w:pPr>
        <w:spacing w:line="300" w:lineRule="exact"/>
        <w:ind w:firstLine="359" w:firstLineChars="149"/>
        <w:rPr>
          <w:rFonts w:hint="eastAsia"/>
          <w:b/>
          <w:bCs/>
          <w:sz w:val="24"/>
        </w:rPr>
      </w:pPr>
      <w:r>
        <w:rPr>
          <w:rFonts w:hint="eastAsia"/>
          <w:b/>
          <w:bCs/>
          <w:sz w:val="24"/>
        </w:rPr>
        <w:t>注册房地产估价师：</w:t>
      </w:r>
      <w:r>
        <w:rPr>
          <w:rFonts w:hint="eastAsia"/>
          <w:b/>
          <w:bCs/>
          <w:sz w:val="24"/>
          <w:lang w:val="en-US" w:eastAsia="zh-CN"/>
        </w:rPr>
        <w:t>孙广升</w:t>
      </w:r>
      <w:r>
        <w:rPr>
          <w:rFonts w:hint="eastAsia"/>
          <w:b/>
          <w:bCs/>
          <w:sz w:val="24"/>
        </w:rPr>
        <w:t>（注册号：</w:t>
      </w:r>
      <w:r>
        <w:rPr>
          <w:rFonts w:hint="eastAsia"/>
          <w:b/>
          <w:bCs/>
          <w:sz w:val="24"/>
          <w:lang w:val="en-US" w:eastAsia="zh-CN"/>
        </w:rPr>
        <w:t>2120140011</w:t>
      </w:r>
      <w:r>
        <w:rPr>
          <w:rFonts w:hint="eastAsia"/>
          <w:b/>
          <w:bCs/>
          <w:sz w:val="24"/>
        </w:rPr>
        <w:t>）</w:t>
      </w:r>
    </w:p>
    <w:p>
      <w:pPr>
        <w:spacing w:line="300" w:lineRule="exact"/>
        <w:ind w:firstLine="359" w:firstLineChars="149"/>
        <w:rPr>
          <w:rFonts w:hint="eastAsia"/>
          <w:b/>
          <w:bCs/>
          <w:sz w:val="24"/>
        </w:rPr>
      </w:pPr>
    </w:p>
    <w:p>
      <w:pPr>
        <w:spacing w:line="300" w:lineRule="exact"/>
        <w:ind w:firstLine="359" w:firstLineChars="149"/>
        <w:rPr>
          <w:rFonts w:hint="eastAsia"/>
          <w:b/>
          <w:bCs/>
          <w:sz w:val="24"/>
        </w:rPr>
      </w:pPr>
      <w:r>
        <w:rPr>
          <w:rFonts w:hint="eastAsia"/>
          <w:b/>
          <w:bCs/>
          <w:sz w:val="24"/>
        </w:rPr>
        <w:t xml:space="preserve">                  董义虎（注册号：2120110032）</w:t>
      </w:r>
    </w:p>
    <w:p>
      <w:pPr>
        <w:spacing w:line="300" w:lineRule="exact"/>
        <w:ind w:firstLine="359" w:firstLineChars="149"/>
        <w:rPr>
          <w:rFonts w:hint="eastAsia"/>
          <w:b/>
          <w:bCs/>
          <w:sz w:val="24"/>
        </w:rPr>
      </w:pPr>
    </w:p>
    <w:p>
      <w:pPr>
        <w:spacing w:line="300" w:lineRule="exact"/>
        <w:ind w:firstLine="359" w:firstLineChars="149"/>
        <w:rPr>
          <w:rFonts w:hint="eastAsia" w:eastAsia="宋体"/>
          <w:b/>
          <w:bCs/>
          <w:sz w:val="24"/>
          <w:lang w:eastAsia="zh-CN"/>
        </w:rPr>
      </w:pPr>
      <w:r>
        <w:rPr>
          <w:rFonts w:hint="eastAsia"/>
          <w:b/>
          <w:bCs/>
          <w:sz w:val="24"/>
        </w:rPr>
        <w:t>估价报告出具日期：</w:t>
      </w:r>
      <w:r>
        <w:rPr>
          <w:rFonts w:hint="eastAsia"/>
          <w:b/>
          <w:bCs/>
          <w:sz w:val="24"/>
          <w:lang w:eastAsia="zh-CN"/>
        </w:rPr>
        <w:t>201</w:t>
      </w:r>
      <w:r>
        <w:rPr>
          <w:rFonts w:hint="eastAsia"/>
          <w:b/>
          <w:bCs/>
          <w:sz w:val="24"/>
          <w:lang w:val="en-US" w:eastAsia="zh-CN"/>
        </w:rPr>
        <w:t>9</w:t>
      </w:r>
      <w:r>
        <w:rPr>
          <w:rFonts w:hint="eastAsia"/>
          <w:b/>
          <w:bCs/>
          <w:sz w:val="24"/>
          <w:lang w:eastAsia="zh-CN"/>
        </w:rPr>
        <w:t>年</w:t>
      </w:r>
      <w:r>
        <w:rPr>
          <w:rFonts w:hint="eastAsia"/>
          <w:b/>
          <w:bCs/>
          <w:sz w:val="24"/>
          <w:lang w:val="en-US" w:eastAsia="zh-CN"/>
        </w:rPr>
        <w:t>10</w:t>
      </w:r>
      <w:r>
        <w:rPr>
          <w:rFonts w:hint="eastAsia"/>
          <w:b/>
          <w:bCs/>
          <w:sz w:val="24"/>
          <w:lang w:eastAsia="zh-CN"/>
        </w:rPr>
        <w:t>月</w:t>
      </w:r>
      <w:r>
        <w:rPr>
          <w:rFonts w:hint="eastAsia"/>
          <w:b/>
          <w:bCs/>
          <w:sz w:val="24"/>
          <w:lang w:val="en-US" w:eastAsia="zh-CN"/>
        </w:rPr>
        <w:t>11</w:t>
      </w:r>
      <w:r>
        <w:rPr>
          <w:rFonts w:hint="eastAsia"/>
          <w:b/>
          <w:bCs/>
          <w:sz w:val="24"/>
          <w:lang w:eastAsia="zh-CN"/>
        </w:rPr>
        <w:t>日</w:t>
      </w:r>
    </w:p>
    <w:p>
      <w:pPr>
        <w:tabs>
          <w:tab w:val="left" w:pos="2847"/>
        </w:tabs>
        <w:bidi w:val="0"/>
        <w:jc w:val="left"/>
        <w:rPr>
          <w:rFonts w:hint="eastAsia"/>
          <w:lang w:val="en-US" w:eastAsia="zh-CN"/>
        </w:rPr>
        <w:sectPr>
          <w:headerReference r:id="rId5" w:type="first"/>
          <w:headerReference r:id="rId3" w:type="default"/>
          <w:footerReference r:id="rId6" w:type="default"/>
          <w:headerReference r:id="rId4" w:type="even"/>
          <w:footerReference r:id="rId7" w:type="even"/>
          <w:pgSz w:w="11906" w:h="16838"/>
          <w:pgMar w:top="1440" w:right="1646" w:bottom="1440" w:left="1797" w:header="851" w:footer="992" w:gutter="0"/>
          <w:pgNumType w:start="0"/>
          <w:cols w:space="720" w:num="1"/>
          <w:titlePg/>
          <w:docGrid w:type="lines" w:linePitch="312" w:charSpace="0"/>
        </w:sectPr>
      </w:pPr>
    </w:p>
    <w:p>
      <w:pPr>
        <w:pStyle w:val="2"/>
        <w:keepNext w:val="0"/>
        <w:keepLines w:val="0"/>
        <w:topLinePunct/>
        <w:spacing w:line="400" w:lineRule="exact"/>
        <w:jc w:val="center"/>
        <w:rPr>
          <w:rFonts w:hint="eastAsia"/>
        </w:rPr>
      </w:pPr>
      <w:bookmarkStart w:id="0" w:name="_Toc275961657"/>
      <w:r>
        <w:rPr>
          <w:rFonts w:hint="eastAsia"/>
        </w:rPr>
        <w:t>致估价委托人函</w:t>
      </w:r>
      <w:bookmarkEnd w:id="0"/>
    </w:p>
    <w:p>
      <w:pPr>
        <w:wordWrap w:val="0"/>
        <w:topLinePunct/>
        <w:spacing w:line="520" w:lineRule="exact"/>
        <w:rPr>
          <w:rFonts w:hint="eastAsia"/>
          <w:b/>
          <w:bCs/>
          <w:sz w:val="28"/>
          <w:szCs w:val="28"/>
        </w:rPr>
      </w:pPr>
      <w:r>
        <w:rPr>
          <w:rFonts w:hint="eastAsia"/>
          <w:b/>
          <w:bCs/>
          <w:sz w:val="28"/>
          <w:szCs w:val="28"/>
        </w:rPr>
        <w:t>辽宁省辽阳市中级人民法院：</w:t>
      </w:r>
    </w:p>
    <w:p>
      <w:pPr>
        <w:wordWrap w:val="0"/>
        <w:topLinePunct/>
        <w:snapToGrid w:val="0"/>
        <w:spacing w:line="520" w:lineRule="exact"/>
        <w:ind w:firstLine="568" w:firstLineChars="200"/>
        <w:rPr>
          <w:rFonts w:hint="eastAsia"/>
          <w:spacing w:val="2"/>
          <w:sz w:val="28"/>
          <w:szCs w:val="28"/>
        </w:rPr>
      </w:pPr>
      <w:r>
        <w:rPr>
          <w:rFonts w:hint="eastAsia"/>
          <w:spacing w:val="2"/>
          <w:sz w:val="28"/>
          <w:szCs w:val="28"/>
        </w:rPr>
        <w:t>受</w:t>
      </w:r>
      <w:r>
        <w:rPr>
          <w:rFonts w:hint="eastAsia" w:ascii="宋体" w:hAnsi="宋体"/>
          <w:bCs/>
          <w:spacing w:val="2"/>
          <w:sz w:val="28"/>
          <w:szCs w:val="28"/>
        </w:rPr>
        <w:t>贵</w:t>
      </w:r>
      <w:r>
        <w:rPr>
          <w:rFonts w:hint="eastAsia" w:ascii="宋体" w:hAnsi="宋体"/>
          <w:bCs/>
          <w:spacing w:val="2"/>
          <w:sz w:val="28"/>
          <w:szCs w:val="28"/>
          <w:lang w:val="en-US" w:eastAsia="zh-CN"/>
        </w:rPr>
        <w:t>院</w:t>
      </w:r>
      <w:r>
        <w:rPr>
          <w:rFonts w:hint="eastAsia"/>
          <w:spacing w:val="2"/>
          <w:sz w:val="28"/>
          <w:szCs w:val="28"/>
        </w:rPr>
        <w:t>的委托，</w:t>
      </w:r>
      <w:r>
        <w:rPr>
          <w:rFonts w:hint="eastAsia" w:ascii="宋体" w:hAnsi="宋体"/>
          <w:bCs/>
          <w:spacing w:val="2"/>
          <w:sz w:val="28"/>
          <w:szCs w:val="28"/>
        </w:rPr>
        <w:t>根据国家有关法律、法规和政策要求，遵循中华人民共和国国家标准</w:t>
      </w:r>
      <w:r>
        <w:rPr>
          <w:rFonts w:hint="default" w:ascii="Times New Roman" w:hAnsi="Times New Roman" w:cs="Times New Roman"/>
          <w:bCs/>
          <w:spacing w:val="2"/>
          <w:sz w:val="28"/>
          <w:szCs w:val="28"/>
        </w:rPr>
        <w:t>GB/T50291-2015</w:t>
      </w:r>
      <w:r>
        <w:rPr>
          <w:rFonts w:hint="eastAsia" w:ascii="宋体" w:hAnsi="宋体"/>
          <w:bCs/>
          <w:spacing w:val="2"/>
          <w:sz w:val="28"/>
          <w:szCs w:val="28"/>
        </w:rPr>
        <w:t>《房地产估价规范》的操作程序，经过认真地查验了贵</w:t>
      </w:r>
      <w:r>
        <w:rPr>
          <w:rFonts w:hint="eastAsia" w:ascii="宋体" w:hAnsi="宋体"/>
          <w:bCs/>
          <w:spacing w:val="2"/>
          <w:sz w:val="28"/>
          <w:szCs w:val="28"/>
          <w:lang w:val="en-US" w:eastAsia="zh-CN"/>
        </w:rPr>
        <w:t>院</w:t>
      </w:r>
      <w:r>
        <w:rPr>
          <w:rFonts w:hint="eastAsia" w:ascii="宋体" w:hAnsi="宋体"/>
          <w:bCs/>
          <w:spacing w:val="2"/>
          <w:sz w:val="28"/>
          <w:szCs w:val="28"/>
        </w:rPr>
        <w:t>提供的</w:t>
      </w:r>
      <w:r>
        <w:rPr>
          <w:rFonts w:hint="eastAsia" w:ascii="宋体" w:hAnsi="宋体"/>
          <w:bCs/>
          <w:spacing w:val="2"/>
          <w:sz w:val="28"/>
          <w:szCs w:val="28"/>
          <w:lang w:eastAsia="zh-CN"/>
        </w:rPr>
        <w:t>辽中法</w:t>
      </w:r>
      <w:r>
        <w:rPr>
          <w:rFonts w:hint="default" w:ascii="Times New Roman" w:hAnsi="Times New Roman" w:cs="Times New Roman"/>
          <w:bCs/>
          <w:spacing w:val="2"/>
          <w:sz w:val="28"/>
          <w:szCs w:val="28"/>
          <w:lang w:eastAsia="zh-CN"/>
        </w:rPr>
        <w:t>（201</w:t>
      </w:r>
      <w:r>
        <w:rPr>
          <w:rFonts w:hint="eastAsia" w:ascii="Times New Roman" w:hAnsi="Times New Roman" w:cs="Times New Roman"/>
          <w:bCs/>
          <w:spacing w:val="2"/>
          <w:sz w:val="28"/>
          <w:szCs w:val="28"/>
          <w:lang w:val="en-US" w:eastAsia="zh-CN"/>
        </w:rPr>
        <w:t>9</w:t>
      </w:r>
      <w:r>
        <w:rPr>
          <w:rFonts w:hint="default" w:ascii="Times New Roman" w:hAnsi="Times New Roman" w:cs="Times New Roman"/>
          <w:bCs/>
          <w:spacing w:val="2"/>
          <w:sz w:val="28"/>
          <w:szCs w:val="28"/>
          <w:lang w:eastAsia="zh-CN"/>
        </w:rPr>
        <w:t>）</w:t>
      </w:r>
      <w:r>
        <w:rPr>
          <w:rFonts w:hint="eastAsia" w:ascii="宋体" w:hAnsi="宋体"/>
          <w:bCs/>
          <w:spacing w:val="2"/>
          <w:sz w:val="28"/>
          <w:szCs w:val="28"/>
          <w:lang w:eastAsia="zh-CN"/>
        </w:rPr>
        <w:t>外委字第</w:t>
      </w:r>
      <w:r>
        <w:rPr>
          <w:rFonts w:hint="eastAsia" w:ascii="Times New Roman" w:hAnsi="Times New Roman" w:cs="Times New Roman"/>
          <w:bCs/>
          <w:spacing w:val="2"/>
          <w:sz w:val="28"/>
          <w:szCs w:val="28"/>
          <w:lang w:val="en-US" w:eastAsia="zh-CN"/>
        </w:rPr>
        <w:t>1414</w:t>
      </w:r>
      <w:r>
        <w:rPr>
          <w:rFonts w:hint="eastAsia" w:ascii="宋体" w:hAnsi="宋体"/>
          <w:bCs/>
          <w:spacing w:val="2"/>
          <w:sz w:val="28"/>
          <w:szCs w:val="28"/>
          <w:lang w:eastAsia="zh-CN"/>
        </w:rPr>
        <w:t>号</w:t>
      </w:r>
      <w:r>
        <w:rPr>
          <w:rFonts w:hint="eastAsia" w:ascii="宋体" w:hAnsi="宋体"/>
          <w:bCs/>
          <w:spacing w:val="2"/>
          <w:sz w:val="28"/>
          <w:szCs w:val="28"/>
        </w:rPr>
        <w:t>的司法技术鉴定委托书</w:t>
      </w:r>
      <w:r>
        <w:rPr>
          <w:rFonts w:hint="eastAsia"/>
          <w:spacing w:val="2"/>
          <w:sz w:val="28"/>
          <w:szCs w:val="28"/>
        </w:rPr>
        <w:t>，</w:t>
      </w:r>
      <w:r>
        <w:rPr>
          <w:rFonts w:hint="eastAsia" w:ascii="宋体" w:hAnsi="宋体"/>
          <w:bCs/>
          <w:spacing w:val="2"/>
          <w:sz w:val="28"/>
          <w:szCs w:val="28"/>
        </w:rPr>
        <w:t>细致地进行了现场查</w:t>
      </w:r>
      <w:r>
        <w:rPr>
          <w:rFonts w:hint="eastAsia" w:ascii="宋体" w:hAnsi="宋体"/>
          <w:sz w:val="28"/>
          <w:szCs w:val="28"/>
        </w:rPr>
        <w:t>看，分析考虑了影响房地产估价的诸多因素，遵循房地产估价原则，运用科学合理的估价方法分析、测算，对</w:t>
      </w:r>
      <w:r>
        <w:rPr>
          <w:rFonts w:hint="eastAsia"/>
          <w:spacing w:val="2"/>
          <w:sz w:val="28"/>
          <w:szCs w:val="28"/>
        </w:rPr>
        <w:t>贵</w:t>
      </w:r>
      <w:r>
        <w:rPr>
          <w:rFonts w:hint="eastAsia" w:ascii="宋体" w:hAnsi="宋体"/>
          <w:bCs/>
          <w:spacing w:val="2"/>
          <w:sz w:val="28"/>
          <w:szCs w:val="28"/>
        </w:rPr>
        <w:t>单位</w:t>
      </w:r>
      <w:r>
        <w:rPr>
          <w:rFonts w:hint="eastAsia"/>
          <w:spacing w:val="2"/>
          <w:sz w:val="28"/>
          <w:szCs w:val="28"/>
        </w:rPr>
        <w:t>委托估价的</w:t>
      </w:r>
      <w:r>
        <w:rPr>
          <w:rFonts w:hint="eastAsia"/>
          <w:spacing w:val="2"/>
          <w:sz w:val="28"/>
          <w:szCs w:val="28"/>
          <w:lang w:eastAsia="zh-CN"/>
        </w:rPr>
        <w:t>辽阳市</w:t>
      </w:r>
      <w:r>
        <w:rPr>
          <w:rFonts w:hint="eastAsia"/>
          <w:spacing w:val="2"/>
          <w:sz w:val="28"/>
          <w:szCs w:val="28"/>
          <w:lang w:val="en-US" w:eastAsia="zh-CN"/>
        </w:rPr>
        <w:t>文圣区太子河路“恒大绿洲”21-19号楼1单元25层50号</w:t>
      </w:r>
      <w:r>
        <w:rPr>
          <w:rFonts w:hint="eastAsia"/>
          <w:spacing w:val="2"/>
          <w:sz w:val="28"/>
          <w:szCs w:val="28"/>
        </w:rPr>
        <w:t>的1处住宅进行市场价值评估。</w:t>
      </w:r>
    </w:p>
    <w:p>
      <w:pPr>
        <w:numPr>
          <w:ilvl w:val="0"/>
          <w:numId w:val="1"/>
        </w:numPr>
        <w:wordWrap w:val="0"/>
        <w:topLinePunct/>
        <w:snapToGrid w:val="0"/>
        <w:spacing w:line="520" w:lineRule="exact"/>
        <w:ind w:firstLine="570" w:firstLineChars="200"/>
        <w:rPr>
          <w:rFonts w:hint="eastAsia"/>
          <w:b/>
          <w:bCs/>
          <w:spacing w:val="2"/>
          <w:sz w:val="28"/>
          <w:szCs w:val="28"/>
        </w:rPr>
      </w:pPr>
      <w:r>
        <w:rPr>
          <w:rFonts w:hint="eastAsia"/>
          <w:b/>
          <w:bCs/>
          <w:spacing w:val="2"/>
          <w:sz w:val="28"/>
          <w:szCs w:val="28"/>
        </w:rPr>
        <w:t>估价目的</w:t>
      </w:r>
    </w:p>
    <w:p>
      <w:pPr>
        <w:wordWrap w:val="0"/>
        <w:topLinePunct/>
        <w:snapToGrid w:val="0"/>
        <w:spacing w:line="520" w:lineRule="exact"/>
        <w:ind w:firstLine="576"/>
        <w:rPr>
          <w:rFonts w:hint="eastAsia"/>
          <w:spacing w:val="2"/>
          <w:sz w:val="28"/>
          <w:szCs w:val="28"/>
        </w:rPr>
      </w:pPr>
      <w:r>
        <w:rPr>
          <w:rFonts w:hint="eastAsia"/>
          <w:sz w:val="28"/>
          <w:szCs w:val="28"/>
        </w:rPr>
        <w:t>为</w:t>
      </w:r>
      <w:r>
        <w:rPr>
          <w:rFonts w:hint="eastAsia"/>
          <w:sz w:val="28"/>
          <w:szCs w:val="28"/>
          <w:lang w:val="en-US" w:eastAsia="zh-CN"/>
        </w:rPr>
        <w:t>辽宁省</w:t>
      </w:r>
      <w:r>
        <w:rPr>
          <w:rFonts w:hint="eastAsia" w:ascii="宋体" w:hAnsi="宋体" w:cs="宋体"/>
          <w:bCs/>
          <w:sz w:val="28"/>
          <w:szCs w:val="28"/>
        </w:rPr>
        <w:t>辽阳市中级人民法院办理案件提供价值参考依据</w:t>
      </w:r>
      <w:r>
        <w:rPr>
          <w:rFonts w:hint="eastAsia"/>
          <w:sz w:val="28"/>
          <w:szCs w:val="28"/>
        </w:rPr>
        <w:t>而评估其房地产市场价值</w:t>
      </w:r>
      <w:r>
        <w:rPr>
          <w:rFonts w:hint="eastAsia"/>
          <w:spacing w:val="2"/>
          <w:sz w:val="28"/>
          <w:szCs w:val="28"/>
        </w:rPr>
        <w:t>。</w:t>
      </w:r>
    </w:p>
    <w:p>
      <w:pPr>
        <w:numPr>
          <w:ilvl w:val="0"/>
          <w:numId w:val="1"/>
        </w:numPr>
        <w:wordWrap w:val="0"/>
        <w:topLinePunct/>
        <w:snapToGrid w:val="0"/>
        <w:spacing w:line="520" w:lineRule="exact"/>
        <w:ind w:firstLine="570" w:firstLineChars="200"/>
        <w:rPr>
          <w:rFonts w:hint="eastAsia"/>
          <w:b/>
          <w:bCs/>
          <w:spacing w:val="2"/>
          <w:sz w:val="28"/>
          <w:szCs w:val="28"/>
        </w:rPr>
      </w:pPr>
      <w:r>
        <w:rPr>
          <w:rFonts w:hint="eastAsia"/>
          <w:b/>
          <w:bCs/>
          <w:spacing w:val="2"/>
          <w:sz w:val="28"/>
          <w:szCs w:val="28"/>
        </w:rPr>
        <w:t>估价对象</w:t>
      </w:r>
    </w:p>
    <w:p>
      <w:pPr>
        <w:wordWrap w:val="0"/>
        <w:topLinePunct/>
        <w:snapToGrid w:val="0"/>
        <w:spacing w:line="520" w:lineRule="exact"/>
        <w:ind w:firstLine="576"/>
        <w:rPr>
          <w:rFonts w:hint="eastAsia" w:ascii="宋体" w:hAnsi="宋体"/>
          <w:color w:val="FF0000"/>
          <w:sz w:val="28"/>
          <w:szCs w:val="28"/>
        </w:rPr>
      </w:pPr>
      <w:r>
        <w:rPr>
          <w:rFonts w:hint="eastAsia"/>
          <w:color w:val="FF0000"/>
          <w:spacing w:val="2"/>
          <w:sz w:val="28"/>
          <w:szCs w:val="28"/>
        </w:rPr>
        <w:t>估价对象为位于</w:t>
      </w:r>
      <w:r>
        <w:rPr>
          <w:rFonts w:hint="eastAsia"/>
          <w:color w:val="FF0000"/>
          <w:spacing w:val="2"/>
          <w:sz w:val="28"/>
          <w:szCs w:val="28"/>
          <w:lang w:eastAsia="zh-CN"/>
        </w:rPr>
        <w:t>辽阳市</w:t>
      </w:r>
      <w:r>
        <w:rPr>
          <w:rFonts w:hint="eastAsia"/>
          <w:color w:val="FF0000"/>
          <w:spacing w:val="2"/>
          <w:sz w:val="28"/>
          <w:szCs w:val="28"/>
          <w:lang w:val="en-US" w:eastAsia="zh-CN"/>
        </w:rPr>
        <w:t>文圣区太子河路“恒大绿洲”21-19号楼1单元25层50号</w:t>
      </w:r>
      <w:r>
        <w:rPr>
          <w:rFonts w:hint="eastAsia"/>
          <w:color w:val="FF0000"/>
          <w:spacing w:val="2"/>
          <w:sz w:val="28"/>
          <w:szCs w:val="28"/>
        </w:rPr>
        <w:t>的1处住宅</w:t>
      </w:r>
      <w:r>
        <w:rPr>
          <w:rFonts w:hint="eastAsia" w:ascii="宋体" w:hAnsi="宋体"/>
          <w:color w:val="FF0000"/>
          <w:sz w:val="28"/>
          <w:szCs w:val="28"/>
        </w:rPr>
        <w:t>，建筑面积为</w:t>
      </w:r>
      <w:r>
        <w:rPr>
          <w:rFonts w:hint="eastAsia" w:ascii="Times New Roman" w:hAnsi="Times New Roman" w:cs="Times New Roman"/>
          <w:color w:val="FF0000"/>
          <w:sz w:val="28"/>
          <w:szCs w:val="28"/>
          <w:lang w:val="en-US" w:eastAsia="zh-CN"/>
        </w:rPr>
        <w:t>187.15</w:t>
      </w:r>
      <w:r>
        <w:rPr>
          <w:rFonts w:hint="eastAsia" w:ascii="宋体" w:hAnsi="宋体"/>
          <w:color w:val="FF0000"/>
          <w:sz w:val="28"/>
          <w:szCs w:val="28"/>
        </w:rPr>
        <w:t>平方米；房屋</w:t>
      </w:r>
      <w:r>
        <w:rPr>
          <w:rFonts w:hint="eastAsia" w:ascii="宋体" w:hAnsi="宋体"/>
          <w:color w:val="FF0000"/>
          <w:sz w:val="28"/>
          <w:szCs w:val="28"/>
          <w:lang w:val="en-US" w:eastAsia="zh-CN"/>
        </w:rPr>
        <w:t>总</w:t>
      </w:r>
      <w:r>
        <w:rPr>
          <w:rFonts w:hint="eastAsia" w:ascii="宋体" w:hAnsi="宋体"/>
          <w:color w:val="FF0000"/>
          <w:sz w:val="28"/>
          <w:szCs w:val="28"/>
        </w:rPr>
        <w:t>层数：</w:t>
      </w:r>
      <w:r>
        <w:rPr>
          <w:rFonts w:hint="eastAsia" w:ascii="Times New Roman" w:hAnsi="Times New Roman" w:cs="Times New Roman"/>
          <w:color w:val="FF0000"/>
          <w:sz w:val="28"/>
          <w:szCs w:val="28"/>
          <w:lang w:val="en-US" w:eastAsia="zh-CN"/>
        </w:rPr>
        <w:t>32</w:t>
      </w:r>
      <w:r>
        <w:rPr>
          <w:rFonts w:hint="eastAsia" w:ascii="宋体" w:hAnsi="宋体"/>
          <w:color w:val="FF0000"/>
          <w:sz w:val="28"/>
          <w:szCs w:val="28"/>
        </w:rPr>
        <w:t>层，所在层数：</w:t>
      </w:r>
      <w:r>
        <w:rPr>
          <w:rFonts w:hint="eastAsia" w:ascii="Times New Roman" w:hAnsi="Times New Roman" w:cs="Times New Roman"/>
          <w:color w:val="FF0000"/>
          <w:sz w:val="28"/>
          <w:szCs w:val="28"/>
          <w:lang w:val="en-US" w:eastAsia="zh-CN"/>
        </w:rPr>
        <w:t>25</w:t>
      </w:r>
      <w:r>
        <w:rPr>
          <w:rFonts w:hint="eastAsia" w:ascii="宋体" w:hAnsi="宋体"/>
          <w:color w:val="FF0000"/>
          <w:sz w:val="28"/>
          <w:szCs w:val="28"/>
        </w:rPr>
        <w:t>层，房屋所有权人为</w:t>
      </w:r>
      <w:r>
        <w:rPr>
          <w:rFonts w:hint="eastAsia" w:ascii="宋体" w:hAnsi="宋体"/>
          <w:color w:val="FF0000"/>
          <w:sz w:val="28"/>
          <w:szCs w:val="28"/>
          <w:lang w:val="en-US" w:eastAsia="zh-CN"/>
        </w:rPr>
        <w:t>李丽红、闵学斌</w:t>
      </w:r>
      <w:r>
        <w:rPr>
          <w:rFonts w:hint="eastAsia" w:ascii="宋体" w:hAnsi="宋体"/>
          <w:color w:val="FF0000"/>
          <w:sz w:val="28"/>
          <w:szCs w:val="28"/>
        </w:rPr>
        <w:t>。</w:t>
      </w:r>
    </w:p>
    <w:p>
      <w:pPr>
        <w:numPr>
          <w:ilvl w:val="0"/>
          <w:numId w:val="1"/>
        </w:numPr>
        <w:wordWrap w:val="0"/>
        <w:topLinePunct/>
        <w:snapToGrid w:val="0"/>
        <w:spacing w:line="520" w:lineRule="exact"/>
        <w:ind w:firstLine="570" w:firstLineChars="200"/>
        <w:rPr>
          <w:rFonts w:hint="eastAsia"/>
          <w:b/>
          <w:bCs/>
          <w:spacing w:val="2"/>
          <w:sz w:val="28"/>
          <w:szCs w:val="28"/>
        </w:rPr>
      </w:pPr>
      <w:r>
        <w:rPr>
          <w:rFonts w:hint="eastAsia"/>
          <w:b/>
          <w:bCs/>
          <w:spacing w:val="2"/>
          <w:sz w:val="28"/>
          <w:szCs w:val="28"/>
        </w:rPr>
        <w:t>价值时点</w:t>
      </w:r>
    </w:p>
    <w:p>
      <w:pPr>
        <w:wordWrap w:val="0"/>
        <w:topLinePunct/>
        <w:snapToGrid w:val="0"/>
        <w:spacing w:line="520" w:lineRule="exact"/>
        <w:ind w:firstLine="576"/>
        <w:rPr>
          <w:rFonts w:hint="eastAsia"/>
          <w:spacing w:val="2"/>
          <w:sz w:val="28"/>
          <w:szCs w:val="28"/>
        </w:rPr>
      </w:pPr>
      <w:r>
        <w:rPr>
          <w:rFonts w:hint="eastAsia"/>
          <w:spacing w:val="2"/>
          <w:sz w:val="28"/>
          <w:szCs w:val="28"/>
        </w:rPr>
        <w:t>本次估价根据估价目的，结合估价相关资料，将现场查勘之日</w:t>
      </w:r>
      <w:r>
        <w:rPr>
          <w:rFonts w:hint="eastAsia"/>
          <w:spacing w:val="2"/>
          <w:sz w:val="28"/>
          <w:szCs w:val="28"/>
          <w:lang w:eastAsia="zh-CN"/>
        </w:rPr>
        <w:t>201</w:t>
      </w:r>
      <w:r>
        <w:rPr>
          <w:rFonts w:hint="eastAsia"/>
          <w:spacing w:val="2"/>
          <w:sz w:val="28"/>
          <w:szCs w:val="28"/>
          <w:lang w:val="en-US" w:eastAsia="zh-CN"/>
        </w:rPr>
        <w:t>9</w:t>
      </w:r>
      <w:r>
        <w:rPr>
          <w:rFonts w:hint="eastAsia"/>
          <w:spacing w:val="2"/>
          <w:sz w:val="28"/>
          <w:szCs w:val="28"/>
          <w:lang w:eastAsia="zh-CN"/>
        </w:rPr>
        <w:t>年</w:t>
      </w:r>
      <w:r>
        <w:rPr>
          <w:rFonts w:hint="eastAsia"/>
          <w:spacing w:val="2"/>
          <w:sz w:val="28"/>
          <w:szCs w:val="28"/>
          <w:lang w:val="en-US" w:eastAsia="zh-CN"/>
        </w:rPr>
        <w:t>09</w:t>
      </w:r>
      <w:r>
        <w:rPr>
          <w:rFonts w:hint="eastAsia"/>
          <w:spacing w:val="2"/>
          <w:sz w:val="28"/>
          <w:szCs w:val="28"/>
          <w:lang w:eastAsia="zh-CN"/>
        </w:rPr>
        <w:t>月</w:t>
      </w:r>
      <w:r>
        <w:rPr>
          <w:rFonts w:hint="eastAsia"/>
          <w:spacing w:val="2"/>
          <w:sz w:val="28"/>
          <w:szCs w:val="28"/>
          <w:lang w:val="en-US" w:eastAsia="zh-CN"/>
        </w:rPr>
        <w:t>23</w:t>
      </w:r>
      <w:r>
        <w:rPr>
          <w:rFonts w:hint="eastAsia"/>
          <w:spacing w:val="2"/>
          <w:sz w:val="28"/>
          <w:szCs w:val="28"/>
          <w:lang w:eastAsia="zh-CN"/>
        </w:rPr>
        <w:t>日</w:t>
      </w:r>
      <w:r>
        <w:rPr>
          <w:rFonts w:hint="eastAsia"/>
          <w:spacing w:val="2"/>
          <w:sz w:val="28"/>
          <w:szCs w:val="28"/>
        </w:rPr>
        <w:t>作为本报告价值时点。</w:t>
      </w:r>
    </w:p>
    <w:p>
      <w:pPr>
        <w:numPr>
          <w:ilvl w:val="0"/>
          <w:numId w:val="1"/>
        </w:numPr>
        <w:wordWrap w:val="0"/>
        <w:topLinePunct/>
        <w:snapToGrid w:val="0"/>
        <w:spacing w:line="520" w:lineRule="exact"/>
        <w:ind w:firstLine="570" w:firstLineChars="200"/>
        <w:rPr>
          <w:rFonts w:hint="eastAsia"/>
          <w:b/>
          <w:bCs/>
          <w:spacing w:val="2"/>
          <w:sz w:val="28"/>
          <w:szCs w:val="28"/>
        </w:rPr>
      </w:pPr>
      <w:r>
        <w:rPr>
          <w:rFonts w:hint="eastAsia"/>
          <w:b/>
          <w:bCs/>
          <w:spacing w:val="2"/>
          <w:sz w:val="28"/>
          <w:szCs w:val="28"/>
        </w:rPr>
        <w:t>价值类型</w:t>
      </w:r>
    </w:p>
    <w:p>
      <w:pPr>
        <w:wordWrap w:val="0"/>
        <w:topLinePunct/>
        <w:snapToGrid w:val="0"/>
        <w:spacing w:line="520" w:lineRule="exact"/>
        <w:ind w:firstLine="576"/>
        <w:rPr>
          <w:rFonts w:hint="eastAsia"/>
          <w:spacing w:val="2"/>
          <w:sz w:val="28"/>
          <w:szCs w:val="28"/>
        </w:rPr>
      </w:pPr>
      <w:r>
        <w:rPr>
          <w:rFonts w:hint="eastAsia"/>
          <w:spacing w:val="2"/>
          <w:sz w:val="28"/>
          <w:szCs w:val="28"/>
        </w:rPr>
        <w:t>本报告评估估价对象的市场价值。</w:t>
      </w:r>
    </w:p>
    <w:p>
      <w:pPr>
        <w:numPr>
          <w:ilvl w:val="0"/>
          <w:numId w:val="1"/>
        </w:numPr>
        <w:wordWrap w:val="0"/>
        <w:topLinePunct/>
        <w:snapToGrid w:val="0"/>
        <w:spacing w:line="520" w:lineRule="exact"/>
        <w:ind w:firstLine="570" w:firstLineChars="200"/>
        <w:rPr>
          <w:rFonts w:hint="eastAsia"/>
          <w:b/>
          <w:bCs/>
          <w:spacing w:val="2"/>
          <w:sz w:val="28"/>
          <w:szCs w:val="28"/>
        </w:rPr>
      </w:pPr>
      <w:r>
        <w:rPr>
          <w:rFonts w:hint="eastAsia"/>
          <w:b/>
          <w:bCs/>
          <w:spacing w:val="2"/>
          <w:sz w:val="28"/>
          <w:szCs w:val="28"/>
        </w:rPr>
        <w:t>估价方法</w:t>
      </w:r>
    </w:p>
    <w:p>
      <w:pPr>
        <w:wordWrap w:val="0"/>
        <w:topLinePunct/>
        <w:snapToGrid w:val="0"/>
        <w:spacing w:line="520" w:lineRule="exact"/>
        <w:ind w:firstLine="576"/>
        <w:rPr>
          <w:rFonts w:hint="eastAsia"/>
          <w:spacing w:val="2"/>
          <w:sz w:val="28"/>
          <w:szCs w:val="28"/>
        </w:rPr>
      </w:pPr>
      <w:r>
        <w:rPr>
          <w:rFonts w:hint="eastAsia"/>
          <w:spacing w:val="2"/>
          <w:sz w:val="28"/>
          <w:szCs w:val="28"/>
        </w:rPr>
        <w:t>本估价报告采用比较法进行估价。</w:t>
      </w:r>
    </w:p>
    <w:p>
      <w:pPr>
        <w:numPr>
          <w:ilvl w:val="0"/>
          <w:numId w:val="1"/>
        </w:numPr>
        <w:wordWrap w:val="0"/>
        <w:topLinePunct/>
        <w:snapToGrid w:val="0"/>
        <w:spacing w:line="520" w:lineRule="exact"/>
        <w:ind w:firstLine="570" w:firstLineChars="200"/>
        <w:rPr>
          <w:rFonts w:hint="eastAsia"/>
          <w:b/>
          <w:bCs/>
          <w:spacing w:val="2"/>
          <w:sz w:val="28"/>
          <w:szCs w:val="28"/>
        </w:rPr>
      </w:pPr>
      <w:r>
        <w:rPr>
          <w:rFonts w:hint="eastAsia"/>
          <w:b/>
          <w:bCs/>
          <w:spacing w:val="2"/>
          <w:sz w:val="28"/>
          <w:szCs w:val="28"/>
        </w:rPr>
        <w:t>估价结果</w:t>
      </w:r>
    </w:p>
    <w:p>
      <w:pPr>
        <w:wordWrap w:val="0"/>
        <w:topLinePunct/>
        <w:snapToGrid w:val="0"/>
        <w:spacing w:line="520" w:lineRule="exact"/>
        <w:ind w:firstLine="576"/>
        <w:rPr>
          <w:rFonts w:hint="eastAsia"/>
          <w:spacing w:val="2"/>
          <w:sz w:val="28"/>
          <w:szCs w:val="28"/>
        </w:rPr>
      </w:pPr>
      <w:r>
        <w:rPr>
          <w:rFonts w:hint="eastAsia"/>
          <w:spacing w:val="2"/>
          <w:sz w:val="28"/>
          <w:szCs w:val="28"/>
        </w:rPr>
        <w:t>本报告估价结果如下：</w:t>
      </w:r>
    </w:p>
    <w:p>
      <w:pPr>
        <w:wordWrap w:val="0"/>
        <w:topLinePunct/>
        <w:spacing w:line="520" w:lineRule="exact"/>
        <w:ind w:firstLine="560" w:firstLineChars="200"/>
        <w:rPr>
          <w:rFonts w:hint="eastAsia"/>
          <w:sz w:val="28"/>
          <w:szCs w:val="28"/>
        </w:rPr>
      </w:pPr>
      <w:r>
        <w:rPr>
          <w:rFonts w:hint="eastAsia"/>
          <w:sz w:val="28"/>
          <w:szCs w:val="28"/>
        </w:rPr>
        <w:t>估价人员根据估价目的，按照估价程序，遵循估价原则，采用适宜的估价方法，在考虑房地产价格因素的基础上，经测算估价对象在价值时点</w:t>
      </w:r>
      <w:r>
        <w:rPr>
          <w:rFonts w:hint="eastAsia"/>
          <w:sz w:val="28"/>
          <w:szCs w:val="28"/>
          <w:lang w:eastAsia="zh-CN"/>
        </w:rPr>
        <w:t>201</w:t>
      </w:r>
      <w:r>
        <w:rPr>
          <w:rFonts w:hint="eastAsia"/>
          <w:sz w:val="28"/>
          <w:szCs w:val="28"/>
          <w:lang w:val="en-US" w:eastAsia="zh-CN"/>
        </w:rPr>
        <w:t>9</w:t>
      </w:r>
      <w:r>
        <w:rPr>
          <w:rFonts w:hint="eastAsia"/>
          <w:sz w:val="28"/>
          <w:szCs w:val="28"/>
          <w:lang w:eastAsia="zh-CN"/>
        </w:rPr>
        <w:t>年</w:t>
      </w:r>
      <w:r>
        <w:rPr>
          <w:rFonts w:hint="eastAsia"/>
          <w:sz w:val="28"/>
          <w:szCs w:val="28"/>
          <w:lang w:val="en-US" w:eastAsia="zh-CN"/>
        </w:rPr>
        <w:t>09</w:t>
      </w:r>
      <w:r>
        <w:rPr>
          <w:rFonts w:hint="eastAsia"/>
          <w:sz w:val="28"/>
          <w:szCs w:val="28"/>
          <w:lang w:eastAsia="zh-CN"/>
        </w:rPr>
        <w:t>月</w:t>
      </w:r>
      <w:r>
        <w:rPr>
          <w:rFonts w:hint="eastAsia"/>
          <w:sz w:val="28"/>
          <w:szCs w:val="28"/>
          <w:lang w:val="en-US" w:eastAsia="zh-CN"/>
        </w:rPr>
        <w:t>23</w:t>
      </w:r>
      <w:r>
        <w:rPr>
          <w:rFonts w:hint="eastAsia"/>
          <w:sz w:val="28"/>
          <w:szCs w:val="28"/>
          <w:lang w:eastAsia="zh-CN"/>
        </w:rPr>
        <w:t>日</w:t>
      </w:r>
      <w:r>
        <w:rPr>
          <w:rFonts w:hint="eastAsia"/>
          <w:sz w:val="28"/>
          <w:szCs w:val="28"/>
        </w:rPr>
        <w:t>的估价结果为：</w:t>
      </w:r>
    </w:p>
    <w:p>
      <w:pPr>
        <w:wordWrap w:val="0"/>
        <w:topLinePunct/>
        <w:spacing w:line="520" w:lineRule="exact"/>
        <w:ind w:firstLine="568" w:firstLineChars="200"/>
        <w:rPr>
          <w:rFonts w:hint="eastAsia"/>
          <w:sz w:val="28"/>
          <w:szCs w:val="28"/>
        </w:rPr>
      </w:pPr>
      <w:r>
        <w:rPr>
          <w:rFonts w:hint="eastAsia" w:ascii="宋体" w:hAnsi="宋体"/>
          <w:bCs/>
          <w:spacing w:val="2"/>
          <w:sz w:val="28"/>
          <w:szCs w:val="28"/>
        </w:rPr>
        <w:t>满足各项假设限制条件下的市场价值为</w:t>
      </w:r>
      <w:r>
        <w:rPr>
          <w:rFonts w:hint="eastAsia"/>
          <w:sz w:val="28"/>
          <w:szCs w:val="28"/>
        </w:rPr>
        <w:t>（大写）</w:t>
      </w:r>
      <w:r>
        <w:rPr>
          <w:rFonts w:hint="eastAsia"/>
          <w:sz w:val="28"/>
          <w:szCs w:val="28"/>
          <w:lang w:val="en-US" w:eastAsia="zh-CN"/>
        </w:rPr>
        <w:t>玖拾伍万肆仟肆佰陆拾伍</w:t>
      </w:r>
      <w:r>
        <w:rPr>
          <w:rFonts w:hint="eastAsia"/>
          <w:sz w:val="28"/>
          <w:szCs w:val="28"/>
        </w:rPr>
        <w:t>元整（</w:t>
      </w:r>
      <w:r>
        <w:rPr>
          <w:rFonts w:hint="eastAsia"/>
          <w:sz w:val="28"/>
          <w:szCs w:val="28"/>
          <w:lang w:val="en-US" w:eastAsia="zh-CN"/>
        </w:rPr>
        <w:t>954,465.00</w:t>
      </w:r>
      <w:r>
        <w:rPr>
          <w:rFonts w:hint="eastAsia"/>
          <w:sz w:val="28"/>
          <w:szCs w:val="28"/>
        </w:rPr>
        <w:t>元），评估单价为</w:t>
      </w:r>
      <w:r>
        <w:rPr>
          <w:rFonts w:hint="eastAsia"/>
          <w:sz w:val="28"/>
          <w:szCs w:val="28"/>
          <w:lang w:val="en-US" w:eastAsia="zh-CN"/>
        </w:rPr>
        <w:t>5</w:t>
      </w:r>
      <w:r>
        <w:rPr>
          <w:rFonts w:hint="eastAsia"/>
          <w:sz w:val="28"/>
          <w:szCs w:val="28"/>
        </w:rPr>
        <w:t>,</w:t>
      </w:r>
      <w:r>
        <w:rPr>
          <w:rFonts w:hint="eastAsia"/>
          <w:sz w:val="28"/>
          <w:szCs w:val="28"/>
          <w:lang w:val="en-US" w:eastAsia="zh-CN"/>
        </w:rPr>
        <w:t>100</w:t>
      </w:r>
      <w:r>
        <w:rPr>
          <w:rFonts w:hint="eastAsia"/>
          <w:sz w:val="28"/>
          <w:szCs w:val="28"/>
        </w:rPr>
        <w:t>.00元/平方米。</w:t>
      </w:r>
    </w:p>
    <w:tbl>
      <w:tblPr>
        <w:tblStyle w:val="11"/>
        <w:tblW w:w="0" w:type="auto"/>
        <w:tblInd w:w="91" w:type="dxa"/>
        <w:tblLayout w:type="fixed"/>
        <w:tblCellMar>
          <w:top w:w="0" w:type="dxa"/>
          <w:left w:w="108" w:type="dxa"/>
          <w:bottom w:w="0" w:type="dxa"/>
          <w:right w:w="108" w:type="dxa"/>
        </w:tblCellMar>
      </w:tblPr>
      <w:tblGrid>
        <w:gridCol w:w="724"/>
        <w:gridCol w:w="1895"/>
        <w:gridCol w:w="1224"/>
        <w:gridCol w:w="1842"/>
        <w:gridCol w:w="1853"/>
        <w:gridCol w:w="1276"/>
      </w:tblGrid>
      <w:tr>
        <w:tblPrEx>
          <w:tblCellMar>
            <w:top w:w="0" w:type="dxa"/>
            <w:left w:w="108" w:type="dxa"/>
            <w:bottom w:w="0" w:type="dxa"/>
            <w:right w:w="108" w:type="dxa"/>
          </w:tblCellMar>
        </w:tblPrEx>
        <w:trPr>
          <w:trHeight w:val="850" w:hRule="exact"/>
        </w:trPr>
        <w:tc>
          <w:tcPr>
            <w:tcW w:w="8814" w:type="dxa"/>
            <w:gridSpan w:val="6"/>
            <w:tcBorders>
              <w:top w:val="nil"/>
              <w:left w:val="nil"/>
              <w:bottom w:val="nil"/>
              <w:right w:val="nil"/>
            </w:tcBorders>
            <w:noWrap w:val="0"/>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估价结果明细表</w:t>
            </w:r>
          </w:p>
        </w:tc>
      </w:tr>
      <w:tr>
        <w:tblPrEx>
          <w:tblCellMar>
            <w:top w:w="0" w:type="dxa"/>
            <w:left w:w="108" w:type="dxa"/>
            <w:bottom w:w="0" w:type="dxa"/>
            <w:right w:w="108" w:type="dxa"/>
          </w:tblCellMar>
        </w:tblPrEx>
        <w:trPr>
          <w:trHeight w:val="850" w:hRule="exact"/>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名称</w:t>
            </w:r>
          </w:p>
        </w:tc>
        <w:tc>
          <w:tcPr>
            <w:tcW w:w="18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产权证号</w:t>
            </w:r>
          </w:p>
        </w:tc>
        <w:tc>
          <w:tcPr>
            <w:tcW w:w="122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建筑面积（㎡）</w:t>
            </w:r>
          </w:p>
        </w:tc>
        <w:tc>
          <w:tcPr>
            <w:tcW w:w="184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评估单价（元/㎡）</w:t>
            </w:r>
          </w:p>
        </w:tc>
        <w:tc>
          <w:tcPr>
            <w:tcW w:w="185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评估总价（元）</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备注</w:t>
            </w:r>
          </w:p>
        </w:tc>
      </w:tr>
      <w:tr>
        <w:tblPrEx>
          <w:tblCellMar>
            <w:top w:w="0" w:type="dxa"/>
            <w:left w:w="108" w:type="dxa"/>
            <w:bottom w:w="0" w:type="dxa"/>
            <w:right w:w="108" w:type="dxa"/>
          </w:tblCellMar>
        </w:tblPrEx>
        <w:trPr>
          <w:trHeight w:val="850" w:hRule="exact"/>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住宅</w:t>
            </w:r>
          </w:p>
        </w:tc>
        <w:tc>
          <w:tcPr>
            <w:tcW w:w="189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FF0000"/>
                <w:sz w:val="22"/>
                <w:szCs w:val="22"/>
                <w:lang w:val="en-US" w:eastAsia="zh-CN"/>
              </w:rPr>
            </w:pPr>
            <w:r>
              <w:rPr>
                <w:rFonts w:hint="eastAsia"/>
                <w:color w:val="FF0000"/>
                <w:sz w:val="22"/>
                <w:szCs w:val="22"/>
                <w:lang w:val="en-US" w:eastAsia="zh-CN"/>
              </w:rPr>
              <w:t>权证号00518832</w:t>
            </w:r>
          </w:p>
        </w:tc>
        <w:tc>
          <w:tcPr>
            <w:tcW w:w="1224" w:type="dxa"/>
            <w:tcBorders>
              <w:top w:val="nil"/>
              <w:left w:val="nil"/>
              <w:bottom w:val="single" w:color="auto" w:sz="4" w:space="0"/>
              <w:right w:val="single" w:color="auto" w:sz="4" w:space="0"/>
            </w:tcBorders>
            <w:noWrap w:val="0"/>
            <w:vAlign w:val="center"/>
          </w:tcPr>
          <w:p>
            <w:pPr>
              <w:jc w:val="center"/>
              <w:rPr>
                <w:rFonts w:hint="default" w:ascii="宋体" w:hAnsi="宋体" w:cs="宋体"/>
                <w:color w:val="FF0000"/>
                <w:sz w:val="22"/>
                <w:szCs w:val="22"/>
                <w:lang w:val="en-US"/>
              </w:rPr>
            </w:pPr>
            <w:r>
              <w:rPr>
                <w:rFonts w:hint="eastAsia"/>
                <w:color w:val="FF0000"/>
                <w:sz w:val="22"/>
                <w:szCs w:val="22"/>
                <w:lang w:val="en-US" w:eastAsia="zh-CN"/>
              </w:rPr>
              <w:t>187.15</w:t>
            </w:r>
          </w:p>
        </w:tc>
        <w:tc>
          <w:tcPr>
            <w:tcW w:w="1842" w:type="dxa"/>
            <w:tcBorders>
              <w:top w:val="nil"/>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lang w:val="en-US" w:eastAsia="zh-CN"/>
              </w:rPr>
              <w:t>5,100</w:t>
            </w:r>
            <w:r>
              <w:rPr>
                <w:rFonts w:hint="eastAsia"/>
                <w:color w:val="FF0000"/>
                <w:sz w:val="22"/>
                <w:szCs w:val="22"/>
              </w:rPr>
              <w:t>.00</w:t>
            </w:r>
          </w:p>
        </w:tc>
        <w:tc>
          <w:tcPr>
            <w:tcW w:w="1853" w:type="dxa"/>
            <w:tcBorders>
              <w:top w:val="nil"/>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lang w:val="en-US" w:eastAsia="zh-CN"/>
              </w:rPr>
              <w:t>954</w:t>
            </w:r>
            <w:r>
              <w:rPr>
                <w:rFonts w:hint="eastAsia"/>
                <w:color w:val="FF0000"/>
                <w:sz w:val="22"/>
                <w:szCs w:val="22"/>
              </w:rPr>
              <w:t>,</w:t>
            </w:r>
            <w:r>
              <w:rPr>
                <w:rFonts w:hint="eastAsia"/>
                <w:color w:val="FF0000"/>
                <w:sz w:val="22"/>
                <w:szCs w:val="22"/>
                <w:lang w:val="en-US" w:eastAsia="zh-CN"/>
              </w:rPr>
              <w:t>465</w:t>
            </w:r>
            <w:r>
              <w:rPr>
                <w:rFonts w:hint="eastAsia"/>
                <w:color w:val="FF0000"/>
                <w:sz w:val="22"/>
                <w:szCs w:val="22"/>
              </w:rPr>
              <w:t>.00</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color w:val="FF0000"/>
                <w:sz w:val="22"/>
                <w:szCs w:val="22"/>
              </w:rPr>
            </w:pPr>
          </w:p>
        </w:tc>
      </w:tr>
    </w:tbl>
    <w:p>
      <w:pPr>
        <w:snapToGrid w:val="0"/>
        <w:spacing w:line="540" w:lineRule="exact"/>
        <w:ind w:firstLine="570" w:firstLineChars="200"/>
        <w:rPr>
          <w:rFonts w:hint="eastAsia"/>
          <w:b/>
          <w:spacing w:val="2"/>
          <w:sz w:val="28"/>
          <w:szCs w:val="28"/>
        </w:rPr>
      </w:pPr>
      <w:r>
        <w:rPr>
          <w:rFonts w:hint="eastAsia"/>
          <w:b/>
          <w:spacing w:val="2"/>
          <w:sz w:val="28"/>
          <w:szCs w:val="28"/>
        </w:rPr>
        <w:t>七、特别提示</w:t>
      </w:r>
    </w:p>
    <w:p>
      <w:pPr>
        <w:snapToGrid w:val="0"/>
        <w:spacing w:line="540" w:lineRule="exact"/>
        <w:ind w:firstLine="568" w:firstLineChars="200"/>
        <w:rPr>
          <w:rFonts w:hint="eastAsia"/>
          <w:spacing w:val="2"/>
          <w:sz w:val="28"/>
          <w:szCs w:val="28"/>
        </w:rPr>
      </w:pPr>
      <w:r>
        <w:rPr>
          <w:rFonts w:hint="eastAsia"/>
          <w:spacing w:val="2"/>
          <w:sz w:val="28"/>
          <w:szCs w:val="28"/>
        </w:rPr>
        <w:t>1、本次估价结果中包含估价对象所分摊的土地使用权的价格。</w:t>
      </w:r>
    </w:p>
    <w:p>
      <w:pPr>
        <w:snapToGrid w:val="0"/>
        <w:spacing w:line="540" w:lineRule="exact"/>
        <w:ind w:firstLine="568" w:firstLineChars="200"/>
        <w:rPr>
          <w:rFonts w:hint="eastAsia" w:hAnsi="宋体"/>
          <w:spacing w:val="-4"/>
          <w:sz w:val="28"/>
          <w:szCs w:val="28"/>
        </w:rPr>
      </w:pPr>
      <w:r>
        <w:rPr>
          <w:rFonts w:hint="eastAsia"/>
          <w:spacing w:val="2"/>
          <w:sz w:val="28"/>
          <w:szCs w:val="28"/>
        </w:rPr>
        <w:t>2、</w:t>
      </w:r>
      <w:r>
        <w:rPr>
          <w:rFonts w:hint="eastAsia" w:hAnsi="宋体"/>
          <w:spacing w:val="-4"/>
          <w:sz w:val="28"/>
          <w:szCs w:val="28"/>
        </w:rPr>
        <w:t>以上结论为评估人员经现场勘查后，根据估价对象在价值时点的实物现状及估价委托人说明的权益状况，经认真分析，按照一定的评估程序和方法，计算得出的结论。评估价值以评估报告为准。</w:t>
      </w:r>
    </w:p>
    <w:p>
      <w:pPr>
        <w:snapToGrid w:val="0"/>
        <w:spacing w:line="540" w:lineRule="exact"/>
        <w:ind w:firstLine="544" w:firstLineChars="200"/>
        <w:rPr>
          <w:rFonts w:hint="eastAsia" w:hAnsi="宋体"/>
          <w:spacing w:val="-4"/>
          <w:sz w:val="28"/>
          <w:szCs w:val="28"/>
        </w:rPr>
      </w:pPr>
    </w:p>
    <w:p>
      <w:pPr>
        <w:snapToGrid w:val="0"/>
        <w:spacing w:line="540" w:lineRule="exact"/>
        <w:ind w:firstLine="544" w:firstLineChars="200"/>
        <w:rPr>
          <w:rFonts w:hint="eastAsia" w:hAnsi="宋体"/>
          <w:spacing w:val="-4"/>
          <w:sz w:val="28"/>
          <w:szCs w:val="28"/>
        </w:rPr>
      </w:pPr>
    </w:p>
    <w:p>
      <w:pPr>
        <w:snapToGrid w:val="0"/>
        <w:spacing w:line="600" w:lineRule="exact"/>
        <w:rPr>
          <w:rFonts w:hint="eastAsia"/>
          <w:spacing w:val="2"/>
          <w:sz w:val="28"/>
          <w:szCs w:val="28"/>
        </w:rPr>
      </w:pPr>
    </w:p>
    <w:p>
      <w:pPr>
        <w:snapToGrid w:val="0"/>
        <w:spacing w:line="520" w:lineRule="exact"/>
        <w:jc w:val="center"/>
        <w:rPr>
          <w:rFonts w:hint="eastAsia"/>
          <w:spacing w:val="2"/>
          <w:sz w:val="28"/>
          <w:szCs w:val="28"/>
        </w:rPr>
      </w:pPr>
      <w:r>
        <w:rPr>
          <w:rFonts w:hint="eastAsia"/>
          <w:spacing w:val="2"/>
          <w:sz w:val="28"/>
          <w:szCs w:val="28"/>
        </w:rPr>
        <w:t xml:space="preserve">                           </w:t>
      </w:r>
    </w:p>
    <w:p>
      <w:pPr>
        <w:snapToGrid w:val="0"/>
        <w:spacing w:line="520" w:lineRule="exact"/>
        <w:jc w:val="center"/>
        <w:rPr>
          <w:rFonts w:hint="eastAsia"/>
          <w:spacing w:val="2"/>
          <w:sz w:val="28"/>
          <w:szCs w:val="28"/>
        </w:rPr>
      </w:pPr>
      <w:r>
        <w:rPr>
          <w:rFonts w:hint="eastAsia"/>
          <w:spacing w:val="2"/>
          <w:sz w:val="28"/>
          <w:szCs w:val="28"/>
        </w:rPr>
        <w:t xml:space="preserve">               </w:t>
      </w:r>
      <w:r>
        <w:rPr>
          <w:rFonts w:hint="eastAsia"/>
          <w:spacing w:val="2"/>
          <w:sz w:val="28"/>
          <w:szCs w:val="28"/>
          <w:lang w:val="en-US" w:eastAsia="zh-CN"/>
        </w:rPr>
        <w:t xml:space="preserve">         </w:t>
      </w:r>
      <w:r>
        <w:rPr>
          <w:rFonts w:hint="eastAsia"/>
          <w:spacing w:val="2"/>
          <w:sz w:val="28"/>
          <w:szCs w:val="28"/>
        </w:rPr>
        <w:t xml:space="preserve"> 辽宁华阳资产房产土地评估有限公司</w:t>
      </w:r>
    </w:p>
    <w:p>
      <w:pPr>
        <w:snapToGrid w:val="0"/>
        <w:spacing w:line="520" w:lineRule="exact"/>
        <w:rPr>
          <w:rFonts w:hint="eastAsia"/>
          <w:spacing w:val="2"/>
          <w:sz w:val="28"/>
          <w:szCs w:val="28"/>
        </w:rPr>
      </w:pPr>
      <w:r>
        <w:rPr>
          <w:rFonts w:hint="eastAsia"/>
          <w:spacing w:val="2"/>
          <w:sz w:val="28"/>
          <w:szCs w:val="28"/>
        </w:rPr>
        <w:t xml:space="preserve">                                    法定代表人：孙广升</w:t>
      </w:r>
    </w:p>
    <w:p>
      <w:pPr>
        <w:snapToGrid w:val="0"/>
        <w:spacing w:line="520" w:lineRule="exact"/>
        <w:rPr>
          <w:rFonts w:hint="eastAsia"/>
          <w:spacing w:val="2"/>
          <w:sz w:val="28"/>
          <w:szCs w:val="28"/>
          <w:lang w:eastAsia="zh-CN"/>
        </w:rPr>
      </w:pPr>
      <w:r>
        <w:rPr>
          <w:rFonts w:hint="eastAsia"/>
          <w:color w:val="FF0000"/>
          <w:spacing w:val="2"/>
          <w:sz w:val="28"/>
          <w:szCs w:val="28"/>
        </w:rPr>
        <w:t xml:space="preserve">                                  </w:t>
      </w:r>
      <w:r>
        <w:rPr>
          <w:rFonts w:hint="eastAsia"/>
          <w:spacing w:val="2"/>
          <w:sz w:val="28"/>
          <w:szCs w:val="28"/>
          <w:lang w:eastAsia="zh-CN"/>
        </w:rPr>
        <w:t>二〇一</w:t>
      </w:r>
      <w:r>
        <w:rPr>
          <w:rFonts w:hint="eastAsia"/>
          <w:spacing w:val="2"/>
          <w:sz w:val="28"/>
          <w:szCs w:val="28"/>
          <w:lang w:val="en-US" w:eastAsia="zh-CN"/>
        </w:rPr>
        <w:t>九</w:t>
      </w:r>
      <w:r>
        <w:rPr>
          <w:rFonts w:hint="eastAsia"/>
          <w:spacing w:val="2"/>
          <w:sz w:val="28"/>
          <w:szCs w:val="28"/>
          <w:lang w:eastAsia="zh-CN"/>
        </w:rPr>
        <w:t>年</w:t>
      </w:r>
      <w:r>
        <w:rPr>
          <w:rFonts w:hint="eastAsia"/>
          <w:spacing w:val="2"/>
          <w:sz w:val="28"/>
          <w:szCs w:val="28"/>
          <w:lang w:val="en-US" w:eastAsia="zh-CN"/>
        </w:rPr>
        <w:t>十</w:t>
      </w:r>
      <w:r>
        <w:rPr>
          <w:rFonts w:hint="eastAsia"/>
          <w:spacing w:val="2"/>
          <w:sz w:val="28"/>
          <w:szCs w:val="28"/>
          <w:lang w:eastAsia="zh-CN"/>
        </w:rPr>
        <w:t>月十</w:t>
      </w:r>
      <w:r>
        <w:rPr>
          <w:rFonts w:hint="eastAsia"/>
          <w:spacing w:val="2"/>
          <w:sz w:val="28"/>
          <w:szCs w:val="28"/>
          <w:lang w:val="en-US" w:eastAsia="zh-CN"/>
        </w:rPr>
        <w:t>一</w:t>
      </w:r>
      <w:r>
        <w:rPr>
          <w:rFonts w:hint="eastAsia"/>
          <w:spacing w:val="2"/>
          <w:sz w:val="28"/>
          <w:szCs w:val="28"/>
          <w:lang w:eastAsia="zh-CN"/>
        </w:rPr>
        <w:t>日</w:t>
      </w:r>
    </w:p>
    <w:p>
      <w:pPr>
        <w:snapToGrid w:val="0"/>
        <w:spacing w:line="520" w:lineRule="exact"/>
        <w:rPr>
          <w:rFonts w:hint="eastAsia"/>
          <w:spacing w:val="2"/>
          <w:sz w:val="28"/>
          <w:szCs w:val="28"/>
          <w:lang w:eastAsia="zh-CN"/>
        </w:rPr>
      </w:pPr>
    </w:p>
    <w:p>
      <w:pPr>
        <w:snapToGrid w:val="0"/>
        <w:spacing w:line="520" w:lineRule="exact"/>
        <w:rPr>
          <w:rFonts w:hint="eastAsia"/>
          <w:spacing w:val="2"/>
          <w:sz w:val="28"/>
          <w:szCs w:val="28"/>
          <w:lang w:eastAsia="zh-CN"/>
        </w:rPr>
      </w:pPr>
    </w:p>
    <w:p>
      <w:pPr>
        <w:snapToGrid w:val="0"/>
        <w:spacing w:line="520" w:lineRule="exact"/>
        <w:rPr>
          <w:rFonts w:hint="eastAsia"/>
          <w:spacing w:val="2"/>
          <w:sz w:val="28"/>
          <w:szCs w:val="28"/>
          <w:lang w:eastAsia="zh-CN"/>
        </w:rPr>
      </w:pPr>
    </w:p>
    <w:p>
      <w:pPr>
        <w:ind w:firstLine="3524" w:firstLineChars="800"/>
        <w:rPr>
          <w:rFonts w:hint="eastAsia" w:ascii="华文中宋" w:hAnsi="华文中宋" w:eastAsia="华文中宋"/>
          <w:b/>
          <w:sz w:val="44"/>
          <w:szCs w:val="44"/>
          <w:lang w:val="en-US" w:eastAsia="zh-CN"/>
        </w:rPr>
      </w:pPr>
      <w:r>
        <w:rPr>
          <w:rFonts w:hint="eastAsia" w:ascii="华文中宋" w:hAnsi="华文中宋" w:eastAsia="华文中宋"/>
          <w:b/>
          <w:sz w:val="44"/>
          <w:szCs w:val="44"/>
        </w:rPr>
        <w:t>目  录</w:t>
      </w:r>
      <w:r>
        <w:rPr>
          <w:rFonts w:hint="eastAsia" w:ascii="华文中宋" w:hAnsi="华文中宋" w:eastAsia="华文中宋"/>
          <w:b/>
          <w:sz w:val="44"/>
          <w:szCs w:val="44"/>
          <w:lang w:val="en-US" w:eastAsia="zh-CN"/>
        </w:rPr>
        <w:t xml:space="preserve">                                                                                                                                                                                                                                                                                         </w:t>
      </w:r>
    </w:p>
    <w:p>
      <w:pPr>
        <w:pStyle w:val="8"/>
        <w:spacing w:line="440" w:lineRule="exact"/>
        <w:rPr>
          <w:sz w:val="24"/>
          <w:lang w:val="zh-CN"/>
        </w:rPr>
      </w:pPr>
      <w:r>
        <w:rPr>
          <w:rFonts w:ascii="Arial" w:hAnsi="Arial"/>
          <w:color w:val="000000"/>
          <w:spacing w:val="2"/>
          <w:sz w:val="36"/>
        </w:rPr>
        <w:fldChar w:fldCharType="begin"/>
      </w:r>
      <w:r>
        <w:rPr>
          <w:rFonts w:ascii="Arial" w:hAnsi="Arial"/>
          <w:color w:val="000000"/>
          <w:spacing w:val="2"/>
          <w:sz w:val="36"/>
        </w:rPr>
        <w:instrText xml:space="preserve"> TOC \o "1-2" \h \z \u </w:instrText>
      </w:r>
      <w:r>
        <w:rPr>
          <w:rFonts w:ascii="Arial" w:hAnsi="Arial"/>
          <w:color w:val="000000"/>
          <w:spacing w:val="2"/>
          <w:sz w:val="36"/>
        </w:rPr>
        <w:fldChar w:fldCharType="separate"/>
      </w:r>
      <w:r>
        <w:rPr>
          <w:sz w:val="24"/>
          <w:lang w:val="zh-CN"/>
        </w:rPr>
        <w:fldChar w:fldCharType="begin"/>
      </w:r>
      <w:r>
        <w:rPr>
          <w:rStyle w:val="14"/>
          <w:sz w:val="24"/>
          <w:lang w:val="zh-CN"/>
        </w:rPr>
        <w:instrText xml:space="preserve"> </w:instrText>
      </w:r>
      <w:r>
        <w:rPr>
          <w:sz w:val="24"/>
          <w:lang w:val="zh-CN"/>
        </w:rPr>
        <w:instrText xml:space="preserve">HYPERLINK \l "_Toc275961665"</w:instrText>
      </w:r>
      <w:r>
        <w:rPr>
          <w:rStyle w:val="14"/>
          <w:sz w:val="24"/>
          <w:lang w:val="zh-CN"/>
        </w:rPr>
        <w:instrText xml:space="preserve"> </w:instrText>
      </w:r>
      <w:r>
        <w:rPr>
          <w:sz w:val="24"/>
          <w:lang w:val="zh-CN"/>
        </w:rPr>
        <w:fldChar w:fldCharType="separate"/>
      </w:r>
      <w:r>
        <w:rPr>
          <w:rStyle w:val="14"/>
          <w:rFonts w:hint="eastAsia"/>
          <w:b/>
          <w:sz w:val="24"/>
          <w:lang w:val="zh-CN"/>
        </w:rPr>
        <w:t>估价师声明</w:t>
      </w:r>
      <w:r>
        <w:rPr>
          <w:rFonts w:hint="eastAsia"/>
          <w:sz w:val="24"/>
        </w:rPr>
        <w:t>………………………………………………………………………………</w:t>
      </w:r>
      <w:r>
        <w:rPr>
          <w:rFonts w:hint="eastAsia"/>
          <w:sz w:val="24"/>
          <w:lang w:val="zh-CN"/>
        </w:rPr>
        <w:t>4</w:t>
      </w:r>
      <w:r>
        <w:rPr>
          <w:sz w:val="24"/>
          <w:lang w:val="zh-CN"/>
        </w:rPr>
        <w:fldChar w:fldCharType="end"/>
      </w:r>
    </w:p>
    <w:p>
      <w:pPr>
        <w:pStyle w:val="8"/>
        <w:spacing w:line="440" w:lineRule="exact"/>
        <w:rPr>
          <w:rFonts w:hint="eastAsia"/>
          <w:sz w:val="24"/>
          <w:lang w:val="zh-CN"/>
        </w:rPr>
      </w:pPr>
      <w:r>
        <w:rPr>
          <w:sz w:val="24"/>
          <w:lang w:val="zh-CN"/>
        </w:rPr>
        <w:fldChar w:fldCharType="begin"/>
      </w:r>
      <w:r>
        <w:rPr>
          <w:rStyle w:val="14"/>
          <w:sz w:val="24"/>
          <w:lang w:val="zh-CN"/>
        </w:rPr>
        <w:instrText xml:space="preserve"> </w:instrText>
      </w:r>
      <w:r>
        <w:rPr>
          <w:sz w:val="24"/>
          <w:lang w:val="zh-CN"/>
        </w:rPr>
        <w:instrText xml:space="preserve">HYPERLINK \l "_Toc275961666"</w:instrText>
      </w:r>
      <w:r>
        <w:rPr>
          <w:rStyle w:val="14"/>
          <w:sz w:val="24"/>
          <w:lang w:val="zh-CN"/>
        </w:rPr>
        <w:instrText xml:space="preserve"> </w:instrText>
      </w:r>
      <w:r>
        <w:rPr>
          <w:sz w:val="24"/>
          <w:lang w:val="zh-CN"/>
        </w:rPr>
        <w:fldChar w:fldCharType="separate"/>
      </w:r>
      <w:r>
        <w:rPr>
          <w:rStyle w:val="14"/>
          <w:rFonts w:hint="eastAsia"/>
          <w:b/>
          <w:sz w:val="24"/>
          <w:lang w:val="zh-CN"/>
        </w:rPr>
        <w:t>估价假设和限制条件</w:t>
      </w:r>
      <w:r>
        <w:rPr>
          <w:rFonts w:hint="eastAsia"/>
          <w:sz w:val="24"/>
        </w:rPr>
        <w:t>…………………………………………………………………</w:t>
      </w:r>
      <w:r>
        <w:rPr>
          <w:rFonts w:hint="eastAsia"/>
          <w:sz w:val="24"/>
          <w:lang w:val="zh-CN"/>
        </w:rPr>
        <w:t>5</w:t>
      </w:r>
      <w:r>
        <w:rPr>
          <w:sz w:val="24"/>
          <w:lang w:val="zh-CN"/>
        </w:rPr>
        <w:fldChar w:fldCharType="end"/>
      </w:r>
    </w:p>
    <w:p>
      <w:pPr>
        <w:pStyle w:val="8"/>
        <w:spacing w:line="440" w:lineRule="exact"/>
        <w:rPr>
          <w:sz w:val="24"/>
          <w:lang w:val="zh-CN"/>
        </w:rPr>
      </w:pPr>
      <w:r>
        <w:rPr>
          <w:sz w:val="24"/>
          <w:lang w:val="zh-CN"/>
        </w:rPr>
        <w:fldChar w:fldCharType="begin"/>
      </w:r>
      <w:r>
        <w:rPr>
          <w:rStyle w:val="14"/>
          <w:sz w:val="24"/>
          <w:lang w:val="zh-CN"/>
        </w:rPr>
        <w:instrText xml:space="preserve"> </w:instrText>
      </w:r>
      <w:r>
        <w:rPr>
          <w:sz w:val="24"/>
          <w:lang w:val="zh-CN"/>
        </w:rPr>
        <w:instrText xml:space="preserve">HYPERLINK \l "_Toc275961669"</w:instrText>
      </w:r>
      <w:r>
        <w:rPr>
          <w:rStyle w:val="14"/>
          <w:sz w:val="24"/>
          <w:lang w:val="zh-CN"/>
        </w:rPr>
        <w:instrText xml:space="preserve"> </w:instrText>
      </w:r>
      <w:r>
        <w:rPr>
          <w:sz w:val="24"/>
          <w:lang w:val="zh-CN"/>
        </w:rPr>
        <w:fldChar w:fldCharType="separate"/>
      </w:r>
      <w:r>
        <w:rPr>
          <w:rStyle w:val="14"/>
          <w:rFonts w:hint="eastAsia"/>
          <w:b/>
          <w:sz w:val="24"/>
          <w:lang w:val="zh-CN"/>
        </w:rPr>
        <w:t>房地产估价结果报告</w:t>
      </w:r>
      <w:r>
        <w:rPr>
          <w:rFonts w:hint="eastAsia"/>
          <w:sz w:val="24"/>
        </w:rPr>
        <w:t>…………………………………………………………</w:t>
      </w:r>
      <w:r>
        <w:rPr>
          <w:rFonts w:hint="eastAsia"/>
          <w:sz w:val="24"/>
          <w:lang w:val="zh-CN"/>
        </w:rPr>
        <w:t>7</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"_Toc275961670"</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一、估价委托人</w:t>
      </w:r>
      <w:r>
        <w:rPr>
          <w:rFonts w:hint="eastAsia"/>
          <w:sz w:val="24"/>
        </w:rPr>
        <w:t>……………………………………………………………………</w:t>
      </w:r>
      <w:r>
        <w:rPr>
          <w:rFonts w:hint="eastAsia"/>
          <w:sz w:val="24"/>
          <w:lang w:val="zh-CN"/>
        </w:rPr>
        <w:t>7</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"_Toc275961671"</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二、估价机构</w:t>
      </w:r>
      <w:r>
        <w:rPr>
          <w:rFonts w:hint="eastAsia"/>
          <w:sz w:val="24"/>
        </w:rPr>
        <w:t>………………………………………………………………………</w:t>
      </w:r>
      <w:r>
        <w:rPr>
          <w:rFonts w:hint="eastAsia"/>
          <w:sz w:val="24"/>
          <w:lang w:val="zh-CN"/>
        </w:rPr>
        <w:t>7</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"_Toc275961672"</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三、估价</w:t>
      </w:r>
      <w:r>
        <w:rPr>
          <w:rStyle w:val="14"/>
          <w:rFonts w:hint="eastAsia" w:ascii="宋体" w:hAnsi="宋体"/>
          <w:sz w:val="24"/>
        </w:rPr>
        <w:t>目的</w:t>
      </w:r>
      <w:r>
        <w:rPr>
          <w:rFonts w:hint="eastAsia"/>
          <w:sz w:val="24"/>
        </w:rPr>
        <w:t>………………………………………………………………………</w:t>
      </w:r>
      <w:r>
        <w:rPr>
          <w:rFonts w:hint="eastAsia"/>
          <w:sz w:val="24"/>
          <w:lang w:val="zh-CN"/>
        </w:rPr>
        <w:t>7</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"_Toc275961673"</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四、估价</w:t>
      </w:r>
      <w:r>
        <w:rPr>
          <w:rStyle w:val="14"/>
          <w:rFonts w:hint="eastAsia" w:ascii="宋体" w:hAnsi="宋体"/>
          <w:sz w:val="24"/>
        </w:rPr>
        <w:t>对象</w:t>
      </w:r>
      <w:r>
        <w:rPr>
          <w:rFonts w:hint="eastAsia"/>
          <w:sz w:val="24"/>
        </w:rPr>
        <w:t>……………………………………………………………………7</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"_Toc275961674"</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五、价值时点</w:t>
      </w:r>
      <w:r>
        <w:rPr>
          <w:rFonts w:hint="eastAsia"/>
          <w:sz w:val="24"/>
        </w:rPr>
        <w:t>………………………………………………………………………9</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"_Toc275961675"</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六、价值类型</w:t>
      </w:r>
      <w:r>
        <w:rPr>
          <w:rFonts w:hint="eastAsia"/>
          <w:sz w:val="24"/>
        </w:rPr>
        <w:t>………………………………………………………………………9</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"_Toc275961676"</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七、估价</w:t>
      </w:r>
      <w:r>
        <w:rPr>
          <w:rStyle w:val="14"/>
          <w:rFonts w:hint="eastAsia" w:ascii="宋体" w:hAnsi="宋体"/>
          <w:sz w:val="24"/>
        </w:rPr>
        <w:t>原则</w:t>
      </w:r>
      <w:r>
        <w:rPr>
          <w:rFonts w:hint="eastAsia"/>
          <w:sz w:val="24"/>
        </w:rPr>
        <w:t>………………………………………………………………………9</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"_Toc275961677"</w:instrText>
      </w:r>
      <w:r>
        <w:rPr>
          <w:rStyle w:val="14"/>
          <w:sz w:val="24"/>
          <w:lang w:val="zh-CN"/>
        </w:rPr>
        <w:instrText xml:space="preserve"> </w:instrText>
      </w:r>
      <w:r>
        <w:rPr>
          <w:sz w:val="24"/>
          <w:lang w:val="zh-CN"/>
        </w:rPr>
        <w:fldChar w:fldCharType="separate"/>
      </w:r>
      <w:r>
        <w:rPr>
          <w:rStyle w:val="14"/>
          <w:rFonts w:hint="eastAsia" w:ascii="宋体" w:hAnsi="宋体"/>
          <w:sz w:val="24"/>
          <w:lang w:val="zh-CN"/>
        </w:rPr>
        <w:t>八、估价</w:t>
      </w:r>
      <w:r>
        <w:rPr>
          <w:rStyle w:val="14"/>
          <w:rFonts w:hint="eastAsia" w:ascii="宋体" w:hAnsi="宋体"/>
          <w:sz w:val="24"/>
        </w:rPr>
        <w:t>依据</w:t>
      </w:r>
      <w:r>
        <w:rPr>
          <w:rFonts w:hint="eastAsia"/>
          <w:sz w:val="24"/>
        </w:rPr>
        <w:t>………………………………………………………………………10</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"_Toc275961678"</w:instrText>
      </w:r>
      <w:r>
        <w:rPr>
          <w:rStyle w:val="14"/>
          <w:sz w:val="24"/>
          <w:lang w:val="zh-CN"/>
        </w:rPr>
        <w:instrText xml:space="preserve"> </w:instrText>
      </w:r>
      <w:r>
        <w:rPr>
          <w:sz w:val="24"/>
          <w:lang w:val="zh-CN"/>
        </w:rPr>
        <w:fldChar w:fldCharType="separate"/>
      </w:r>
      <w:r>
        <w:rPr>
          <w:rStyle w:val="14"/>
          <w:rFonts w:hint="eastAsia" w:ascii="宋体" w:hAnsi="宋体"/>
          <w:bCs/>
          <w:sz w:val="24"/>
          <w:lang w:val="zh-CN"/>
        </w:rPr>
        <w:t>九、估价方法</w:t>
      </w:r>
      <w:r>
        <w:rPr>
          <w:rFonts w:hint="eastAsia"/>
          <w:sz w:val="24"/>
        </w:rPr>
        <w:t>………………………………………………………………………11</w:t>
      </w:r>
      <w:r>
        <w:rPr>
          <w:sz w:val="24"/>
          <w:lang w:val="zh-CN"/>
        </w:rPr>
        <w:fldChar w:fldCharType="end"/>
      </w:r>
    </w:p>
    <w:p>
      <w:pPr>
        <w:pStyle w:val="9"/>
        <w:tabs>
          <w:tab w:val="right" w:leader="dot" w:pos="8681"/>
        </w:tabs>
        <w:spacing w:line="440" w:lineRule="exact"/>
        <w:ind w:left="0" w:leftChars="0"/>
        <w:jc w:val="distribute"/>
        <w:rPr>
          <w:sz w:val="24"/>
          <w:lang w:val="zh-CN"/>
        </w:rPr>
      </w:pPr>
      <w:r>
        <w:rPr>
          <w:rFonts w:hint="eastAsia"/>
          <w:sz w:val="24"/>
        </w:rPr>
        <w:t xml:space="preserve">    </w:t>
      </w:r>
      <w:r>
        <w:rPr>
          <w:sz w:val="24"/>
          <w:lang w:val="zh-CN"/>
        </w:rPr>
        <w:fldChar w:fldCharType="begin"/>
      </w:r>
      <w:r>
        <w:rPr>
          <w:rStyle w:val="14"/>
          <w:sz w:val="24"/>
          <w:lang w:val="zh-CN"/>
        </w:rPr>
        <w:instrText xml:space="preserve"> </w:instrText>
      </w:r>
      <w:r>
        <w:rPr>
          <w:sz w:val="24"/>
          <w:lang w:val="zh-CN"/>
        </w:rPr>
        <w:instrText xml:space="preserve">HYPERLINK \l "_Toc275961679"</w:instrText>
      </w:r>
      <w:r>
        <w:rPr>
          <w:rStyle w:val="14"/>
          <w:sz w:val="24"/>
          <w:lang w:val="zh-CN"/>
        </w:rPr>
        <w:instrText xml:space="preserve"> </w:instrText>
      </w:r>
      <w:r>
        <w:rPr>
          <w:sz w:val="24"/>
          <w:lang w:val="zh-CN"/>
        </w:rPr>
        <w:fldChar w:fldCharType="separate"/>
      </w:r>
      <w:r>
        <w:rPr>
          <w:rStyle w:val="14"/>
          <w:rFonts w:hint="eastAsia" w:ascii="宋体" w:hAnsi="宋体"/>
          <w:bCs/>
          <w:sz w:val="24"/>
          <w:lang w:val="zh-CN"/>
        </w:rPr>
        <w:t>十、估价结果</w:t>
      </w:r>
      <w:r>
        <w:rPr>
          <w:rFonts w:hint="eastAsia"/>
          <w:sz w:val="24"/>
        </w:rPr>
        <w:t>………………………………………………………………………1</w:t>
      </w:r>
      <w:r>
        <w:rPr>
          <w:sz w:val="24"/>
          <w:lang w:val="zh-CN"/>
        </w:rPr>
        <w:fldChar w:fldCharType="end"/>
      </w:r>
      <w:r>
        <w:rPr>
          <w:rFonts w:hint="eastAsia"/>
          <w:sz w:val="24"/>
        </w:rPr>
        <w:t>2</w:t>
      </w:r>
    </w:p>
    <w:p>
      <w:pPr>
        <w:pStyle w:val="9"/>
        <w:tabs>
          <w:tab w:val="right" w:leader="dot" w:pos="8681"/>
        </w:tabs>
        <w:spacing w:line="440" w:lineRule="exact"/>
        <w:ind w:left="0" w:leftChars="0"/>
        <w:jc w:val="distribute"/>
        <w:rPr>
          <w:rFonts w:hint="eastAsia"/>
          <w:sz w:val="24"/>
          <w:lang w:val="zh-CN"/>
        </w:rPr>
      </w:pPr>
      <w:r>
        <w:rPr>
          <w:rFonts w:hint="eastAsia"/>
          <w:sz w:val="24"/>
        </w:rPr>
        <w:t xml:space="preserve">    </w:t>
      </w:r>
      <w:r>
        <w:rPr>
          <w:rFonts w:hint="eastAsia"/>
          <w:sz w:val="24"/>
          <w:lang w:val="zh-CN"/>
        </w:rPr>
        <w:fldChar w:fldCharType="begin"/>
      </w:r>
      <w:r>
        <w:rPr>
          <w:rFonts w:hint="eastAsia"/>
          <w:sz w:val="24"/>
          <w:lang w:val="zh-CN"/>
        </w:rPr>
        <w:instrText xml:space="preserve"> HYPERLINK \l "_Toc275961680" </w:instrText>
      </w:r>
      <w:r>
        <w:rPr>
          <w:rFonts w:hint="eastAsia"/>
          <w:sz w:val="24"/>
          <w:lang w:val="zh-CN"/>
        </w:rPr>
        <w:fldChar w:fldCharType="separate"/>
      </w:r>
      <w:r>
        <w:rPr>
          <w:rFonts w:hint="eastAsia"/>
          <w:sz w:val="24"/>
          <w:lang w:val="zh-CN"/>
        </w:rPr>
        <w:t>十一、</w:t>
      </w:r>
      <w:r>
        <w:rPr>
          <w:rFonts w:hint="eastAsia"/>
          <w:sz w:val="24"/>
        </w:rPr>
        <w:t>注册房地产估价师 …………………………………………………………</w:t>
      </w:r>
      <w:r>
        <w:rPr>
          <w:rFonts w:hint="eastAsia"/>
          <w:sz w:val="24"/>
          <w:lang w:val="zh-CN"/>
        </w:rPr>
        <w:fldChar w:fldCharType="end"/>
      </w:r>
      <w:r>
        <w:rPr>
          <w:rFonts w:hint="eastAsia"/>
          <w:sz w:val="24"/>
        </w:rPr>
        <w:t>12</w:t>
      </w:r>
    </w:p>
    <w:p>
      <w:pPr>
        <w:pStyle w:val="9"/>
        <w:tabs>
          <w:tab w:val="right" w:leader="dot" w:pos="8681"/>
        </w:tabs>
        <w:spacing w:line="440" w:lineRule="exact"/>
        <w:ind w:left="0" w:leftChars="0"/>
        <w:jc w:val="distribute"/>
        <w:rPr>
          <w:rFonts w:hint="eastAsia"/>
          <w:sz w:val="24"/>
          <w:lang w:val="zh-CN"/>
        </w:rPr>
      </w:pPr>
      <w:r>
        <w:rPr>
          <w:rFonts w:hint="eastAsia"/>
          <w:sz w:val="24"/>
        </w:rPr>
        <w:t xml:space="preserve">    </w:t>
      </w:r>
      <w:r>
        <w:rPr>
          <w:rFonts w:hint="eastAsia"/>
          <w:sz w:val="24"/>
          <w:lang w:val="zh-CN"/>
        </w:rPr>
        <w:fldChar w:fldCharType="begin"/>
      </w:r>
      <w:r>
        <w:rPr>
          <w:rFonts w:hint="eastAsia"/>
          <w:sz w:val="24"/>
          <w:lang w:val="zh-CN"/>
        </w:rPr>
        <w:instrText xml:space="preserve"> HYPERLINK \l "_Toc275961681" </w:instrText>
      </w:r>
      <w:r>
        <w:rPr>
          <w:rFonts w:hint="eastAsia"/>
          <w:sz w:val="24"/>
          <w:lang w:val="zh-CN"/>
        </w:rPr>
        <w:fldChar w:fldCharType="separate"/>
      </w:r>
      <w:r>
        <w:rPr>
          <w:rFonts w:hint="eastAsia"/>
          <w:sz w:val="24"/>
          <w:lang w:val="zh-CN"/>
        </w:rPr>
        <w:t>十二、</w:t>
      </w:r>
      <w:r>
        <w:rPr>
          <w:rFonts w:hint="eastAsia"/>
          <w:sz w:val="24"/>
        </w:rPr>
        <w:t>实地查勘期…………………………………………………………………1</w:t>
      </w:r>
      <w:r>
        <w:rPr>
          <w:rFonts w:hint="eastAsia"/>
          <w:sz w:val="24"/>
          <w:lang w:val="zh-CN"/>
        </w:rPr>
        <w:fldChar w:fldCharType="end"/>
      </w:r>
      <w:r>
        <w:rPr>
          <w:rFonts w:hint="eastAsia"/>
          <w:sz w:val="24"/>
        </w:rPr>
        <w:t>2</w:t>
      </w:r>
    </w:p>
    <w:p>
      <w:pPr>
        <w:pStyle w:val="9"/>
        <w:tabs>
          <w:tab w:val="right" w:leader="dot" w:pos="8681"/>
        </w:tabs>
        <w:spacing w:line="440" w:lineRule="exact"/>
        <w:ind w:left="0" w:leftChars="0"/>
        <w:jc w:val="distribute"/>
        <w:rPr>
          <w:rFonts w:hint="eastAsia"/>
          <w:sz w:val="24"/>
        </w:rPr>
      </w:pPr>
      <w:r>
        <w:rPr>
          <w:rFonts w:hint="eastAsia"/>
          <w:sz w:val="24"/>
        </w:rPr>
        <w:t xml:space="preserve">    </w:t>
      </w:r>
      <w:r>
        <w:rPr>
          <w:rFonts w:hint="eastAsia"/>
          <w:sz w:val="24"/>
          <w:lang w:val="zh-CN"/>
        </w:rPr>
        <w:fldChar w:fldCharType="begin"/>
      </w:r>
      <w:r>
        <w:rPr>
          <w:rFonts w:hint="eastAsia"/>
          <w:sz w:val="24"/>
          <w:lang w:val="zh-CN"/>
        </w:rPr>
        <w:instrText xml:space="preserve"> HYPERLINK \l "_Toc275961682" </w:instrText>
      </w:r>
      <w:r>
        <w:rPr>
          <w:rFonts w:hint="eastAsia"/>
          <w:sz w:val="24"/>
          <w:lang w:val="zh-CN"/>
        </w:rPr>
        <w:fldChar w:fldCharType="separate"/>
      </w:r>
      <w:r>
        <w:rPr>
          <w:rFonts w:hint="eastAsia"/>
          <w:sz w:val="24"/>
          <w:lang w:val="zh-CN"/>
        </w:rPr>
        <w:t>十三、估价</w:t>
      </w:r>
      <w:r>
        <w:rPr>
          <w:rFonts w:hint="eastAsia"/>
          <w:sz w:val="24"/>
        </w:rPr>
        <w:t>作业期…………………………………………………………………1</w:t>
      </w:r>
      <w:r>
        <w:rPr>
          <w:rFonts w:hint="eastAsia"/>
          <w:sz w:val="24"/>
          <w:lang w:val="zh-CN"/>
        </w:rPr>
        <w:fldChar w:fldCharType="end"/>
      </w:r>
      <w:r>
        <w:rPr>
          <w:rFonts w:hint="eastAsia"/>
          <w:sz w:val="24"/>
        </w:rPr>
        <w:t>2</w:t>
      </w:r>
    </w:p>
    <w:p>
      <w:pPr>
        <w:pStyle w:val="9"/>
        <w:tabs>
          <w:tab w:val="right" w:leader="dot" w:pos="8681"/>
        </w:tabs>
        <w:spacing w:line="340" w:lineRule="exact"/>
        <w:ind w:left="0" w:leftChars="0"/>
        <w:jc w:val="distribute"/>
        <w:rPr>
          <w:rFonts w:hint="eastAsia"/>
          <w:sz w:val="24"/>
          <w:lang w:val="zh-CN"/>
        </w:rPr>
      </w:pPr>
      <w:r>
        <w:rPr>
          <w:rFonts w:hint="eastAsia"/>
          <w:sz w:val="24"/>
        </w:rPr>
        <w:t xml:space="preserve">  </w:t>
      </w:r>
    </w:p>
    <w:p>
      <w:pPr>
        <w:spacing w:line="440" w:lineRule="exact"/>
        <w:rPr>
          <w:rFonts w:hint="eastAsia"/>
          <w:b/>
          <w:sz w:val="24"/>
        </w:rPr>
      </w:pPr>
      <w:r>
        <w:rPr>
          <w:rFonts w:hint="eastAsia"/>
          <w:b/>
          <w:sz w:val="24"/>
        </w:rPr>
        <w:t>附件：</w:t>
      </w:r>
    </w:p>
    <w:p>
      <w:pPr>
        <w:spacing w:line="440" w:lineRule="exact"/>
        <w:ind w:firstLine="420" w:firstLineChars="175"/>
        <w:rPr>
          <w:rFonts w:hint="eastAsia" w:eastAsia="宋体"/>
          <w:sz w:val="24"/>
          <w:lang w:eastAsia="zh-CN"/>
        </w:rPr>
      </w:pPr>
      <w:r>
        <w:rPr>
          <w:rFonts w:hint="eastAsia"/>
          <w:sz w:val="24"/>
        </w:rPr>
        <w:t>1、估价委托书</w:t>
      </w:r>
      <w:r>
        <w:rPr>
          <w:rFonts w:hint="eastAsia"/>
          <w:sz w:val="24"/>
          <w:lang w:eastAsia="zh-CN"/>
        </w:rPr>
        <w:t>（</w:t>
      </w:r>
      <w:r>
        <w:rPr>
          <w:rFonts w:hint="eastAsia"/>
          <w:sz w:val="24"/>
          <w:lang w:val="en-US" w:eastAsia="zh-CN"/>
        </w:rPr>
        <w:t>司法技术鉴定委托书</w:t>
      </w:r>
      <w:r>
        <w:rPr>
          <w:rFonts w:hint="eastAsia"/>
          <w:sz w:val="24"/>
          <w:lang w:eastAsia="zh-CN"/>
        </w:rPr>
        <w:t>）</w:t>
      </w:r>
    </w:p>
    <w:p>
      <w:pPr>
        <w:spacing w:line="440" w:lineRule="exact"/>
        <w:ind w:firstLine="420" w:firstLineChars="175"/>
        <w:rPr>
          <w:rFonts w:hint="eastAsia"/>
          <w:sz w:val="24"/>
        </w:rPr>
      </w:pPr>
      <w:r>
        <w:rPr>
          <w:rFonts w:hint="eastAsia"/>
          <w:sz w:val="24"/>
        </w:rPr>
        <w:t>2、估价对象照片</w:t>
      </w:r>
    </w:p>
    <w:p>
      <w:pPr>
        <w:spacing w:line="440" w:lineRule="exact"/>
        <w:ind w:firstLine="420" w:firstLineChars="175"/>
        <w:rPr>
          <w:rFonts w:hint="eastAsia"/>
          <w:sz w:val="24"/>
        </w:rPr>
      </w:pPr>
      <w:r>
        <w:rPr>
          <w:rFonts w:hint="eastAsia"/>
          <w:sz w:val="24"/>
        </w:rPr>
        <w:t>3、估价对象位置图</w:t>
      </w:r>
    </w:p>
    <w:p>
      <w:pPr>
        <w:spacing w:line="440" w:lineRule="exact"/>
        <w:ind w:firstLine="420" w:firstLineChars="175"/>
        <w:rPr>
          <w:rFonts w:hint="eastAsia"/>
          <w:sz w:val="24"/>
        </w:rPr>
      </w:pPr>
      <w:r>
        <w:rPr>
          <w:rFonts w:hint="eastAsia"/>
          <w:sz w:val="24"/>
        </w:rPr>
        <w:t>4、</w:t>
      </w:r>
      <w:r>
        <w:rPr>
          <w:rFonts w:hint="eastAsia"/>
          <w:sz w:val="24"/>
          <w:lang w:eastAsia="zh-CN"/>
        </w:rPr>
        <w:t>《</w:t>
      </w:r>
      <w:r>
        <w:rPr>
          <w:rFonts w:hint="eastAsia"/>
          <w:sz w:val="24"/>
          <w:lang w:val="en-US" w:eastAsia="zh-CN"/>
        </w:rPr>
        <w:t>不动产产权情况表</w:t>
      </w:r>
      <w:r>
        <w:rPr>
          <w:rFonts w:hint="eastAsia"/>
          <w:sz w:val="24"/>
          <w:lang w:eastAsia="zh-CN"/>
        </w:rPr>
        <w:t>》</w:t>
      </w:r>
      <w:r>
        <w:rPr>
          <w:rFonts w:hint="eastAsia"/>
          <w:sz w:val="24"/>
        </w:rPr>
        <w:t>复印件</w:t>
      </w:r>
    </w:p>
    <w:p>
      <w:pPr>
        <w:spacing w:line="440" w:lineRule="exact"/>
        <w:ind w:firstLine="420" w:firstLineChars="175"/>
        <w:rPr>
          <w:rFonts w:hint="eastAsia"/>
          <w:sz w:val="24"/>
        </w:rPr>
      </w:pPr>
      <w:r>
        <w:rPr>
          <w:rFonts w:hint="eastAsia"/>
          <w:sz w:val="24"/>
        </w:rPr>
        <w:t>5、房地产估价机构营业执照复印件</w:t>
      </w:r>
    </w:p>
    <w:p>
      <w:pPr>
        <w:spacing w:line="440" w:lineRule="exact"/>
        <w:ind w:firstLine="420" w:firstLineChars="175"/>
        <w:rPr>
          <w:rFonts w:hint="eastAsia"/>
          <w:sz w:val="24"/>
        </w:rPr>
      </w:pPr>
      <w:r>
        <w:rPr>
          <w:rFonts w:hint="eastAsia"/>
          <w:sz w:val="24"/>
        </w:rPr>
        <w:t>6、房地产估价机构备案证书复印件</w:t>
      </w:r>
    </w:p>
    <w:p>
      <w:pPr>
        <w:spacing w:line="440" w:lineRule="exact"/>
        <w:ind w:firstLine="420" w:firstLineChars="175"/>
        <w:rPr>
          <w:rFonts w:hint="eastAsia"/>
          <w:sz w:val="24"/>
        </w:rPr>
      </w:pPr>
      <w:r>
        <w:rPr>
          <w:rFonts w:hint="eastAsia"/>
          <w:sz w:val="24"/>
        </w:rPr>
        <w:t>7、房地产估价师注册证书复印件</w:t>
      </w:r>
    </w:p>
    <w:p>
      <w:pPr>
        <w:spacing w:line="460" w:lineRule="exact"/>
        <w:ind w:firstLine="420" w:firstLineChars="175"/>
        <w:rPr>
          <w:rFonts w:hint="eastAsia"/>
          <w:sz w:val="24"/>
        </w:rPr>
      </w:pPr>
    </w:p>
    <w:p>
      <w:pPr>
        <w:snapToGrid w:val="0"/>
        <w:rPr>
          <w:rFonts w:hint="eastAsia" w:ascii="Arial" w:hAnsi="Arial"/>
          <w:color w:val="000000"/>
          <w:spacing w:val="2"/>
          <w:sz w:val="36"/>
        </w:rPr>
      </w:pPr>
      <w:r>
        <w:rPr>
          <w:rFonts w:ascii="Arial" w:hAnsi="Arial"/>
          <w:color w:val="000000"/>
          <w:spacing w:val="2"/>
          <w:sz w:val="36"/>
        </w:rPr>
        <w:fldChar w:fldCharType="end"/>
      </w:r>
      <w:bookmarkStart w:id="1" w:name="_Toc275961665"/>
    </w:p>
    <w:p>
      <w:pPr>
        <w:snapToGrid w:val="0"/>
        <w:jc w:val="center"/>
        <w:rPr>
          <w:rFonts w:hint="eastAsia"/>
          <w:b/>
          <w:bCs/>
          <w:sz w:val="44"/>
          <w:szCs w:val="44"/>
        </w:rPr>
      </w:pPr>
    </w:p>
    <w:p>
      <w:pPr>
        <w:snapToGrid w:val="0"/>
        <w:jc w:val="center"/>
        <w:rPr>
          <w:rFonts w:hint="eastAsia"/>
          <w:b/>
          <w:bCs/>
          <w:sz w:val="18"/>
          <w:szCs w:val="18"/>
        </w:rPr>
      </w:pPr>
      <w:r>
        <w:rPr>
          <w:rFonts w:hint="eastAsia"/>
          <w:b/>
          <w:bCs/>
          <w:sz w:val="44"/>
          <w:szCs w:val="44"/>
        </w:rPr>
        <w:t>估价师声明</w:t>
      </w:r>
      <w:bookmarkEnd w:id="1"/>
    </w:p>
    <w:p>
      <w:pPr>
        <w:snapToGrid w:val="0"/>
        <w:jc w:val="center"/>
        <w:rPr>
          <w:rFonts w:hint="eastAsia"/>
          <w:b/>
          <w:bCs/>
          <w:sz w:val="18"/>
          <w:szCs w:val="18"/>
        </w:rPr>
      </w:pPr>
    </w:p>
    <w:p>
      <w:pPr>
        <w:spacing w:line="360" w:lineRule="auto"/>
        <w:ind w:firstLine="560" w:firstLineChars="200"/>
        <w:rPr>
          <w:rFonts w:hint="eastAsia" w:ascii="宋体" w:hAnsi="宋体"/>
          <w:sz w:val="28"/>
          <w:szCs w:val="28"/>
        </w:rPr>
      </w:pPr>
      <w:r>
        <w:rPr>
          <w:sz w:val="28"/>
          <w:szCs w:val="28"/>
        </w:rPr>
        <w:t>1</w:t>
      </w:r>
      <w:r>
        <w:rPr>
          <w:rFonts w:hint="eastAsia" w:ascii="宋体" w:hAnsi="宋体"/>
          <w:sz w:val="28"/>
          <w:szCs w:val="28"/>
        </w:rPr>
        <w:t>、注册房地产估价师在本估价报告中对事实的说明是真实和准确的，没有虚假记载、误导性陈述和重大遗漏。</w:t>
      </w:r>
    </w:p>
    <w:p>
      <w:pPr>
        <w:tabs>
          <w:tab w:val="left" w:pos="0"/>
        </w:tabs>
        <w:spacing w:line="360" w:lineRule="auto"/>
        <w:ind w:firstLine="420" w:firstLineChars="150"/>
        <w:rPr>
          <w:rFonts w:hint="eastAsia" w:ascii="宋体" w:hAnsi="宋体"/>
          <w:sz w:val="28"/>
          <w:szCs w:val="28"/>
        </w:rPr>
      </w:pPr>
      <w:r>
        <w:rPr>
          <w:sz w:val="28"/>
          <w:szCs w:val="28"/>
        </w:rPr>
        <w:t xml:space="preserve"> 2</w:t>
      </w:r>
      <w:r>
        <w:rPr>
          <w:rFonts w:hint="eastAsia" w:ascii="宋体" w:hAnsi="宋体"/>
          <w:sz w:val="28"/>
          <w:szCs w:val="28"/>
        </w:rPr>
        <w:t>、本估价报告中的分析、意见和结论是注册房地产估价师独立、客观、公正的专业分析、意见和结论，但受到估价报告中已说明的假设和限制条件的限制。</w:t>
      </w:r>
    </w:p>
    <w:p>
      <w:pPr>
        <w:tabs>
          <w:tab w:val="left" w:pos="0"/>
        </w:tabs>
        <w:spacing w:line="360" w:lineRule="auto"/>
        <w:ind w:firstLine="420" w:firstLineChars="150"/>
        <w:rPr>
          <w:rFonts w:hint="eastAsia" w:ascii="宋体" w:hAnsi="宋体"/>
          <w:sz w:val="28"/>
          <w:szCs w:val="28"/>
        </w:rPr>
      </w:pPr>
      <w:r>
        <w:rPr>
          <w:rFonts w:hint="eastAsia" w:ascii="宋体" w:hAnsi="宋体"/>
          <w:sz w:val="28"/>
          <w:szCs w:val="28"/>
        </w:rPr>
        <w:t xml:space="preserve"> </w:t>
      </w:r>
      <w:r>
        <w:rPr>
          <w:sz w:val="28"/>
          <w:szCs w:val="28"/>
        </w:rPr>
        <w:t>3</w:t>
      </w:r>
      <w:r>
        <w:rPr>
          <w:rFonts w:hint="eastAsia" w:ascii="宋体" w:hAnsi="宋体"/>
          <w:sz w:val="28"/>
          <w:szCs w:val="28"/>
        </w:rPr>
        <w:t>、注册房地产估价师与本估价报告中的估价对象没有现实或潜在的利益，与估价委托人及估价利害关系人没有利害关系，也对估价对象、估价委托人及估价利害关系人没有偏见。</w:t>
      </w:r>
    </w:p>
    <w:p>
      <w:pPr>
        <w:tabs>
          <w:tab w:val="left" w:pos="0"/>
        </w:tabs>
        <w:wordWrap w:val="0"/>
        <w:spacing w:line="360" w:lineRule="auto"/>
        <w:ind w:firstLine="420" w:firstLineChars="150"/>
        <w:rPr>
          <w:rFonts w:hint="eastAsia" w:ascii="宋体" w:hAnsi="宋体"/>
          <w:sz w:val="28"/>
          <w:szCs w:val="28"/>
        </w:rPr>
      </w:pPr>
      <w:r>
        <w:rPr>
          <w:rFonts w:hint="eastAsia" w:ascii="宋体" w:hAnsi="宋体"/>
          <w:sz w:val="28"/>
          <w:szCs w:val="28"/>
        </w:rPr>
        <w:t xml:space="preserve"> </w:t>
      </w:r>
      <w:r>
        <w:rPr>
          <w:sz w:val="28"/>
          <w:szCs w:val="28"/>
        </w:rPr>
        <w:t>4、</w:t>
      </w:r>
      <w:r>
        <w:rPr>
          <w:rFonts w:hint="eastAsia" w:ascii="宋体" w:hAnsi="宋体"/>
          <w:sz w:val="28"/>
          <w:szCs w:val="28"/>
        </w:rPr>
        <w:t>注册房地产估价师依照中华人民共和国国家标准</w:t>
      </w:r>
      <w:r>
        <w:rPr>
          <w:sz w:val="28"/>
          <w:szCs w:val="28"/>
        </w:rPr>
        <w:t>GB/T50291-2015</w:t>
      </w:r>
      <w:r>
        <w:rPr>
          <w:rFonts w:hint="eastAsia" w:ascii="宋体" w:hAnsi="宋体"/>
          <w:sz w:val="28"/>
          <w:szCs w:val="28"/>
        </w:rPr>
        <w:t>《房地产估价规范》</w:t>
      </w:r>
      <w:r>
        <w:rPr>
          <w:sz w:val="28"/>
          <w:szCs w:val="28"/>
        </w:rPr>
        <w:t>、GB/T50899-2013</w:t>
      </w:r>
      <w:r>
        <w:rPr>
          <w:rFonts w:hint="eastAsia" w:ascii="宋体" w:hAnsi="宋体"/>
          <w:sz w:val="28"/>
          <w:szCs w:val="28"/>
        </w:rPr>
        <w:t>《房地产估价基本术语标准》的规定开展估价工作，撰写估价报告。</w:t>
      </w:r>
    </w:p>
    <w:p>
      <w:pPr>
        <w:pStyle w:val="2"/>
        <w:jc w:val="center"/>
        <w:rPr>
          <w:rFonts w:hint="eastAsia"/>
        </w:rPr>
      </w:pPr>
      <w:bookmarkStart w:id="2" w:name="_Toc275961666"/>
    </w:p>
    <w:p>
      <w:pPr>
        <w:pStyle w:val="2"/>
        <w:jc w:val="center"/>
        <w:rPr>
          <w:rFonts w:hint="eastAsia"/>
        </w:rPr>
      </w:pPr>
    </w:p>
    <w:p>
      <w:pPr>
        <w:pStyle w:val="2"/>
        <w:jc w:val="center"/>
        <w:rPr>
          <w:rFonts w:hint="eastAsia"/>
        </w:rPr>
      </w:pPr>
    </w:p>
    <w:p>
      <w:pPr>
        <w:rPr>
          <w:rFonts w:hint="eastAsia"/>
        </w:rPr>
      </w:pPr>
    </w:p>
    <w:p>
      <w:pPr>
        <w:rPr>
          <w:rFonts w:hint="eastAsia"/>
        </w:rPr>
      </w:pPr>
    </w:p>
    <w:bookmarkEnd w:id="2"/>
    <w:p>
      <w:pPr>
        <w:pStyle w:val="2"/>
        <w:jc w:val="center"/>
        <w:rPr>
          <w:rFonts w:hint="eastAsia"/>
        </w:rPr>
      </w:pPr>
      <w:r>
        <w:rPr>
          <w:rFonts w:hint="eastAsia"/>
        </w:rPr>
        <w:t>估价假设和限制条件</w:t>
      </w:r>
    </w:p>
    <w:p>
      <w:pPr>
        <w:pStyle w:val="3"/>
        <w:keepNext w:val="0"/>
        <w:keepLines w:val="0"/>
        <w:spacing w:before="0" w:after="0" w:line="540" w:lineRule="exact"/>
        <w:rPr>
          <w:rFonts w:hint="eastAsia" w:ascii="Times New Roman" w:hAnsi="Times New Roman" w:eastAsia="宋体"/>
          <w:b w:val="0"/>
          <w:bCs w:val="0"/>
          <w:sz w:val="28"/>
          <w:szCs w:val="28"/>
        </w:rPr>
      </w:pPr>
      <w:bookmarkStart w:id="3" w:name="_Toc275961667"/>
      <w:r>
        <w:rPr>
          <w:rFonts w:hint="eastAsia"/>
          <w:b w:val="0"/>
          <w:bCs w:val="0"/>
          <w:sz w:val="28"/>
          <w:szCs w:val="28"/>
        </w:rPr>
        <w:t xml:space="preserve">  </w:t>
      </w:r>
      <w:r>
        <w:rPr>
          <w:rFonts w:hint="eastAsia" w:ascii="Times New Roman" w:hAnsi="Times New Roman"/>
          <w:b w:val="0"/>
          <w:bCs w:val="0"/>
          <w:sz w:val="28"/>
          <w:szCs w:val="28"/>
        </w:rPr>
        <w:t xml:space="preserve">  </w:t>
      </w:r>
      <w:r>
        <w:rPr>
          <w:rFonts w:hint="eastAsia" w:ascii="Times New Roman" w:hAnsi="Times New Roman" w:eastAsia="宋体"/>
          <w:b w:val="0"/>
          <w:bCs w:val="0"/>
          <w:sz w:val="28"/>
          <w:szCs w:val="28"/>
        </w:rPr>
        <w:t>一、</w:t>
      </w:r>
      <w:bookmarkEnd w:id="3"/>
      <w:r>
        <w:rPr>
          <w:rFonts w:hint="eastAsia" w:ascii="Times New Roman" w:hAnsi="Times New Roman" w:eastAsia="宋体"/>
          <w:b w:val="0"/>
          <w:sz w:val="28"/>
          <w:szCs w:val="28"/>
        </w:rPr>
        <w:t>一般假设</w:t>
      </w:r>
    </w:p>
    <w:p>
      <w:pPr>
        <w:spacing w:line="540" w:lineRule="exact"/>
        <w:ind w:firstLine="560" w:firstLineChars="200"/>
        <w:rPr>
          <w:rFonts w:hint="eastAsia"/>
          <w:sz w:val="28"/>
          <w:szCs w:val="28"/>
        </w:rPr>
      </w:pPr>
      <w:r>
        <w:rPr>
          <w:sz w:val="28"/>
          <w:szCs w:val="28"/>
        </w:rPr>
        <w:t>1</w:t>
      </w:r>
      <w:r>
        <w:rPr>
          <w:rFonts w:hint="eastAsia"/>
          <w:sz w:val="28"/>
          <w:szCs w:val="28"/>
        </w:rPr>
        <w:t>、</w:t>
      </w:r>
      <w:r>
        <w:rPr>
          <w:rFonts w:hint="eastAsia"/>
          <w:sz w:val="28"/>
          <w:szCs w:val="28"/>
          <w:lang w:val="en-US" w:eastAsia="zh-CN"/>
        </w:rPr>
        <w:t>由于</w:t>
      </w:r>
      <w:r>
        <w:rPr>
          <w:rFonts w:hint="eastAsia"/>
          <w:sz w:val="28"/>
          <w:szCs w:val="28"/>
        </w:rPr>
        <w:t>估价委托人</w:t>
      </w:r>
      <w:r>
        <w:rPr>
          <w:rFonts w:hint="eastAsia"/>
          <w:sz w:val="28"/>
          <w:szCs w:val="28"/>
          <w:lang w:val="en-US" w:eastAsia="zh-CN"/>
        </w:rPr>
        <w:t>未</w:t>
      </w:r>
      <w:r>
        <w:rPr>
          <w:rFonts w:hint="eastAsia"/>
          <w:sz w:val="28"/>
          <w:szCs w:val="28"/>
        </w:rPr>
        <w:t>提供估价对象的《</w:t>
      </w:r>
      <w:r>
        <w:rPr>
          <w:rFonts w:hint="eastAsia"/>
          <w:sz w:val="28"/>
          <w:szCs w:val="28"/>
          <w:lang w:val="en-US" w:eastAsia="zh-CN"/>
        </w:rPr>
        <w:t>不动产权</w:t>
      </w:r>
      <w:r>
        <w:rPr>
          <w:rFonts w:hint="eastAsia"/>
          <w:sz w:val="28"/>
          <w:szCs w:val="28"/>
        </w:rPr>
        <w:t>证</w:t>
      </w:r>
      <w:r>
        <w:rPr>
          <w:rFonts w:hint="eastAsia"/>
          <w:sz w:val="28"/>
          <w:szCs w:val="28"/>
          <w:lang w:val="en-US" w:eastAsia="zh-CN"/>
        </w:rPr>
        <w:t>书</w:t>
      </w:r>
      <w:r>
        <w:rPr>
          <w:rFonts w:hint="eastAsia"/>
          <w:sz w:val="28"/>
          <w:szCs w:val="28"/>
        </w:rPr>
        <w:t>》，我们</w:t>
      </w:r>
      <w:r>
        <w:rPr>
          <w:rFonts w:hint="eastAsia"/>
          <w:sz w:val="28"/>
          <w:szCs w:val="28"/>
          <w:lang w:val="en-US" w:eastAsia="zh-CN"/>
        </w:rPr>
        <w:t>依据委托人、鉴定申请人提供的不动产产权情况表确定估价对象及范围。我们</w:t>
      </w:r>
      <w:r>
        <w:rPr>
          <w:rFonts w:hint="eastAsia"/>
          <w:sz w:val="28"/>
          <w:szCs w:val="28"/>
        </w:rPr>
        <w:t>未向政府相关部门进行核实，在无理由怀疑其合法性、真实性、准确性和完整性情况下，假定估价委托人提供的资料合法、真实、准确和完整。</w:t>
      </w:r>
    </w:p>
    <w:p>
      <w:pPr>
        <w:spacing w:line="540" w:lineRule="exact"/>
        <w:ind w:firstLine="420" w:firstLineChars="150"/>
        <w:rPr>
          <w:rFonts w:hint="eastAsia"/>
          <w:sz w:val="28"/>
          <w:szCs w:val="28"/>
        </w:rPr>
      </w:pPr>
      <w:r>
        <w:rPr>
          <w:rFonts w:hint="eastAsia"/>
          <w:sz w:val="28"/>
          <w:szCs w:val="28"/>
        </w:rPr>
        <w:t xml:space="preserve"> 2、注册房地产估价师对房屋安全、环境污染等影响估价对象价值的重大因素给予了关注，在无理由怀疑估价对象存在安全隐患且无相应的专业机构进行鉴定、检测的情况下，假定估价对象能正常安全使用。 </w:t>
      </w:r>
    </w:p>
    <w:p>
      <w:pPr>
        <w:spacing w:line="540" w:lineRule="exact"/>
        <w:ind w:firstLine="420" w:firstLineChars="150"/>
        <w:rPr>
          <w:rFonts w:hint="eastAsia"/>
          <w:sz w:val="28"/>
          <w:szCs w:val="28"/>
        </w:rPr>
      </w:pPr>
      <w:r>
        <w:rPr>
          <w:rFonts w:hint="eastAsia"/>
          <w:sz w:val="28"/>
          <w:szCs w:val="28"/>
        </w:rPr>
        <w:t xml:space="preserve"> 3、</w:t>
      </w:r>
      <w:r>
        <w:rPr>
          <w:rFonts w:hint="eastAsia"/>
          <w:sz w:val="28"/>
          <w:szCs w:val="28"/>
          <w:lang w:val="en-US" w:eastAsia="zh-CN"/>
        </w:rPr>
        <w:t>假定</w:t>
      </w:r>
      <w:r>
        <w:rPr>
          <w:rFonts w:hint="eastAsia"/>
          <w:sz w:val="28"/>
          <w:szCs w:val="28"/>
        </w:rPr>
        <w:t>估价对象房屋建筑面积与</w:t>
      </w:r>
      <w:r>
        <w:rPr>
          <w:rFonts w:hint="eastAsia"/>
          <w:sz w:val="28"/>
          <w:szCs w:val="28"/>
          <w:lang w:val="en-US" w:eastAsia="zh-CN"/>
        </w:rPr>
        <w:t>委托人、鉴定申请人提供的不动产产权情况表</w:t>
      </w:r>
      <w:r>
        <w:rPr>
          <w:rFonts w:hint="eastAsia"/>
          <w:sz w:val="28"/>
          <w:szCs w:val="28"/>
        </w:rPr>
        <w:t>记载的建筑面积</w:t>
      </w:r>
      <w:r>
        <w:rPr>
          <w:rFonts w:hint="eastAsia"/>
          <w:sz w:val="28"/>
          <w:szCs w:val="28"/>
          <w:lang w:val="en-US" w:eastAsia="zh-CN"/>
        </w:rPr>
        <w:t>相符</w:t>
      </w:r>
      <w:r>
        <w:rPr>
          <w:rFonts w:hint="eastAsia"/>
          <w:sz w:val="28"/>
          <w:szCs w:val="28"/>
        </w:rPr>
        <w:t>。</w:t>
      </w:r>
    </w:p>
    <w:p>
      <w:pPr>
        <w:spacing w:line="540" w:lineRule="exact"/>
        <w:ind w:firstLine="560" w:firstLineChars="200"/>
        <w:rPr>
          <w:rFonts w:hint="eastAsia"/>
          <w:sz w:val="28"/>
          <w:szCs w:val="28"/>
        </w:rPr>
      </w:pPr>
      <w:r>
        <w:rPr>
          <w:rFonts w:hint="eastAsia"/>
          <w:sz w:val="28"/>
          <w:szCs w:val="28"/>
        </w:rPr>
        <w:t>4、估价对象在价值时点的房地产市场为公开、平等、自愿的交易市场，既能满足如下条件：交易双方自愿地进行交易；交易双方出于利己动机进行交易；交易双方精明、谨慎行事，并了解交易对象、知晓市场行情；交易双方有充裕的时间进行交易；不存在买者因特殊兴趣而给予的附加出价。</w:t>
      </w:r>
    </w:p>
    <w:p>
      <w:pPr>
        <w:spacing w:line="540" w:lineRule="exact"/>
        <w:ind w:firstLine="560" w:firstLineChars="200"/>
        <w:rPr>
          <w:rFonts w:hint="eastAsia"/>
          <w:sz w:val="28"/>
          <w:szCs w:val="28"/>
        </w:rPr>
      </w:pPr>
      <w:r>
        <w:rPr>
          <w:rFonts w:hint="eastAsia"/>
          <w:sz w:val="28"/>
          <w:szCs w:val="28"/>
        </w:rPr>
        <w:t>二</w:t>
      </w:r>
      <w:r>
        <w:rPr>
          <w:sz w:val="28"/>
          <w:szCs w:val="28"/>
        </w:rPr>
        <w:t>、</w:t>
      </w:r>
      <w:r>
        <w:rPr>
          <w:rFonts w:hint="eastAsia"/>
          <w:sz w:val="28"/>
          <w:szCs w:val="28"/>
        </w:rPr>
        <w:t>未定事项假设</w:t>
      </w:r>
    </w:p>
    <w:p>
      <w:pPr>
        <w:spacing w:line="540" w:lineRule="exact"/>
        <w:ind w:firstLine="560" w:firstLineChars="200"/>
        <w:rPr>
          <w:rFonts w:hint="eastAsia"/>
          <w:sz w:val="28"/>
          <w:szCs w:val="28"/>
        </w:rPr>
      </w:pPr>
      <w:r>
        <w:rPr>
          <w:rFonts w:hint="eastAsia"/>
          <w:sz w:val="28"/>
          <w:szCs w:val="28"/>
        </w:rPr>
        <w:t>无未定事项假设。</w:t>
      </w:r>
    </w:p>
    <w:p>
      <w:pPr>
        <w:spacing w:line="540" w:lineRule="exact"/>
        <w:ind w:firstLine="560" w:firstLineChars="200"/>
        <w:rPr>
          <w:rFonts w:hint="eastAsia"/>
          <w:sz w:val="28"/>
          <w:szCs w:val="28"/>
        </w:rPr>
      </w:pPr>
      <w:r>
        <w:rPr>
          <w:rFonts w:hint="eastAsia"/>
          <w:sz w:val="28"/>
          <w:szCs w:val="28"/>
        </w:rPr>
        <w:t>三</w:t>
      </w:r>
      <w:r>
        <w:rPr>
          <w:sz w:val="28"/>
          <w:szCs w:val="28"/>
        </w:rPr>
        <w:t>、</w:t>
      </w:r>
      <w:r>
        <w:rPr>
          <w:rFonts w:hint="eastAsia"/>
          <w:sz w:val="28"/>
          <w:szCs w:val="28"/>
        </w:rPr>
        <w:t>背离事实假设：</w:t>
      </w:r>
    </w:p>
    <w:p>
      <w:pPr>
        <w:spacing w:line="540" w:lineRule="exact"/>
        <w:ind w:firstLine="560" w:firstLineChars="200"/>
        <w:rPr>
          <w:rFonts w:hint="eastAsia"/>
          <w:sz w:val="28"/>
          <w:szCs w:val="28"/>
        </w:rPr>
      </w:pPr>
      <w:r>
        <w:rPr>
          <w:rFonts w:hint="eastAsia"/>
          <w:sz w:val="28"/>
          <w:szCs w:val="28"/>
        </w:rPr>
        <w:t>无背离事实假设</w:t>
      </w:r>
    </w:p>
    <w:p>
      <w:pPr>
        <w:spacing w:line="540" w:lineRule="exact"/>
        <w:ind w:firstLine="560" w:firstLineChars="200"/>
        <w:rPr>
          <w:rFonts w:hint="eastAsia"/>
          <w:sz w:val="28"/>
          <w:szCs w:val="28"/>
        </w:rPr>
      </w:pPr>
      <w:r>
        <w:rPr>
          <w:rFonts w:hint="eastAsia"/>
          <w:sz w:val="28"/>
          <w:szCs w:val="28"/>
        </w:rPr>
        <w:t>四</w:t>
      </w:r>
      <w:r>
        <w:rPr>
          <w:sz w:val="28"/>
          <w:szCs w:val="28"/>
        </w:rPr>
        <w:t>、</w:t>
      </w:r>
      <w:r>
        <w:rPr>
          <w:rFonts w:hint="eastAsia"/>
          <w:sz w:val="28"/>
          <w:szCs w:val="28"/>
        </w:rPr>
        <w:t>不相一致假设：</w:t>
      </w:r>
    </w:p>
    <w:p>
      <w:pPr>
        <w:spacing w:line="540" w:lineRule="exact"/>
        <w:ind w:firstLine="560" w:firstLineChars="200"/>
        <w:rPr>
          <w:rFonts w:hint="eastAsia"/>
          <w:sz w:val="28"/>
          <w:szCs w:val="28"/>
        </w:rPr>
      </w:pPr>
      <w:r>
        <w:rPr>
          <w:rFonts w:hint="eastAsia"/>
          <w:sz w:val="28"/>
          <w:szCs w:val="28"/>
        </w:rPr>
        <w:t>无不相一致假设。</w:t>
      </w:r>
    </w:p>
    <w:p>
      <w:pPr>
        <w:spacing w:line="540" w:lineRule="exact"/>
        <w:ind w:firstLine="560" w:firstLineChars="200"/>
        <w:rPr>
          <w:rFonts w:hint="eastAsia"/>
          <w:sz w:val="28"/>
          <w:szCs w:val="28"/>
        </w:rPr>
      </w:pPr>
      <w:r>
        <w:rPr>
          <w:rFonts w:hint="eastAsia"/>
          <w:sz w:val="28"/>
          <w:szCs w:val="28"/>
        </w:rPr>
        <w:t>五</w:t>
      </w:r>
      <w:r>
        <w:rPr>
          <w:sz w:val="28"/>
          <w:szCs w:val="28"/>
        </w:rPr>
        <w:t>、</w:t>
      </w:r>
      <w:r>
        <w:rPr>
          <w:rFonts w:hint="eastAsia"/>
          <w:sz w:val="28"/>
          <w:szCs w:val="28"/>
        </w:rPr>
        <w:t>依据不足假设：</w:t>
      </w:r>
    </w:p>
    <w:p>
      <w:pPr>
        <w:spacing w:line="540" w:lineRule="exact"/>
        <w:ind w:firstLine="560" w:firstLineChars="200"/>
        <w:rPr>
          <w:rFonts w:hint="eastAsia"/>
          <w:sz w:val="28"/>
          <w:szCs w:val="28"/>
        </w:rPr>
      </w:pPr>
      <w:bookmarkStart w:id="4" w:name="_Toc275961668"/>
      <w:r>
        <w:rPr>
          <w:rFonts w:hint="eastAsia"/>
          <w:sz w:val="28"/>
          <w:szCs w:val="28"/>
          <w:lang w:val="en-US" w:eastAsia="zh-CN"/>
        </w:rPr>
        <w:t>1、由于无法与房屋产权人取得联系，我们无法进入室内勘查，假设委估住宅满足居住要求、功能齐全水暖电等配套设施完好</w:t>
      </w:r>
      <w:r>
        <w:rPr>
          <w:rFonts w:hint="eastAsia"/>
          <w:sz w:val="28"/>
          <w:szCs w:val="28"/>
        </w:rPr>
        <w:t>。</w:t>
      </w:r>
    </w:p>
    <w:p>
      <w:pPr>
        <w:spacing w:line="540" w:lineRule="exact"/>
        <w:ind w:firstLine="560" w:firstLineChars="200"/>
        <w:rPr>
          <w:rFonts w:hint="eastAsia" w:eastAsia="宋体"/>
          <w:sz w:val="28"/>
          <w:szCs w:val="28"/>
          <w:lang w:val="en-US" w:eastAsia="zh-CN"/>
        </w:rPr>
      </w:pPr>
      <w:r>
        <w:rPr>
          <w:rFonts w:hint="eastAsia"/>
          <w:sz w:val="28"/>
          <w:szCs w:val="28"/>
          <w:lang w:val="en-US" w:eastAsia="zh-CN"/>
        </w:rPr>
        <w:t>2、估价委托人提供的资料未载明估价对象土地权属情况，本次估价假设估价对象土地权属清晰，应分摊土地面积符合国家规定。</w:t>
      </w:r>
    </w:p>
    <w:p>
      <w:pPr>
        <w:pStyle w:val="3"/>
        <w:keepNext w:val="0"/>
        <w:keepLines w:val="0"/>
        <w:spacing w:before="0" w:after="0" w:line="540" w:lineRule="exact"/>
        <w:rPr>
          <w:rFonts w:hint="eastAsia" w:ascii="Times New Roman" w:hAnsi="Times New Roman" w:eastAsia="宋体"/>
          <w:b w:val="0"/>
          <w:bCs w:val="0"/>
          <w:sz w:val="28"/>
          <w:szCs w:val="28"/>
        </w:rPr>
      </w:pPr>
      <w:r>
        <w:rPr>
          <w:rFonts w:hint="eastAsia" w:ascii="Times New Roman" w:hAnsi="Times New Roman"/>
          <w:b w:val="0"/>
          <w:bCs w:val="0"/>
          <w:sz w:val="28"/>
          <w:szCs w:val="28"/>
        </w:rPr>
        <w:t xml:space="preserve">    </w:t>
      </w:r>
      <w:r>
        <w:rPr>
          <w:rFonts w:hint="eastAsia" w:ascii="Times New Roman" w:hAnsi="Times New Roman" w:eastAsia="宋体"/>
          <w:b w:val="0"/>
          <w:bCs w:val="0"/>
          <w:sz w:val="28"/>
          <w:szCs w:val="28"/>
        </w:rPr>
        <w:t>六、估价报告使用限制</w:t>
      </w:r>
      <w:bookmarkEnd w:id="4"/>
    </w:p>
    <w:p>
      <w:pPr>
        <w:spacing w:line="540" w:lineRule="exact"/>
        <w:ind w:firstLine="560" w:firstLineChars="200"/>
        <w:rPr>
          <w:rFonts w:hint="eastAsia" w:ascii="宋体" w:hAnsi="宋体"/>
          <w:sz w:val="28"/>
          <w:szCs w:val="28"/>
        </w:rPr>
      </w:pPr>
      <w:r>
        <w:rPr>
          <w:sz w:val="28"/>
          <w:szCs w:val="28"/>
        </w:rPr>
        <w:t>1、</w:t>
      </w:r>
      <w:r>
        <w:rPr>
          <w:rFonts w:hint="eastAsia" w:ascii="宋体" w:hAnsi="宋体"/>
          <w:sz w:val="28"/>
          <w:szCs w:val="28"/>
        </w:rPr>
        <w:t>本估价结果反映估价对象在本次估价目的下，根据国家、地方现行政策规定，按房地产估价程序和公认的估价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估价结果有效期内发生明显变动时，上述评估结果在未作相应修正的情况下不再生效。</w:t>
      </w:r>
    </w:p>
    <w:p>
      <w:pPr>
        <w:spacing w:line="540" w:lineRule="exact"/>
        <w:ind w:firstLine="560" w:firstLineChars="200"/>
        <w:rPr>
          <w:rFonts w:hint="eastAsia"/>
          <w:sz w:val="28"/>
          <w:szCs w:val="28"/>
        </w:rPr>
      </w:pPr>
      <w:r>
        <w:rPr>
          <w:rFonts w:hint="eastAsia"/>
          <w:sz w:val="28"/>
          <w:szCs w:val="28"/>
        </w:rPr>
        <w:t>2、</w:t>
      </w:r>
      <w:r>
        <w:rPr>
          <w:rFonts w:hint="eastAsia" w:ascii="宋体" w:hAnsi="宋体"/>
          <w:sz w:val="28"/>
          <w:szCs w:val="28"/>
        </w:rPr>
        <w:t>本报告出具日期之后及估价结果有效期内，如发生影响估价对象价值的重大期后事项，不能直接使用本估价结论</w:t>
      </w:r>
      <w:r>
        <w:rPr>
          <w:rFonts w:hint="eastAsia"/>
          <w:sz w:val="28"/>
          <w:szCs w:val="28"/>
        </w:rPr>
        <w:t>。</w:t>
      </w:r>
    </w:p>
    <w:p>
      <w:pPr>
        <w:spacing w:line="540" w:lineRule="exact"/>
        <w:ind w:firstLine="560" w:firstLineChars="200"/>
        <w:rPr>
          <w:rFonts w:hint="eastAsia"/>
          <w:sz w:val="28"/>
          <w:szCs w:val="28"/>
        </w:rPr>
      </w:pPr>
      <w:r>
        <w:rPr>
          <w:rFonts w:hint="eastAsia"/>
          <w:sz w:val="28"/>
          <w:szCs w:val="28"/>
        </w:rPr>
        <w:t>3、</w:t>
      </w:r>
      <w:r>
        <w:rPr>
          <w:rFonts w:hint="eastAsia" w:ascii="宋体" w:hAnsi="宋体"/>
          <w:spacing w:val="-6"/>
          <w:sz w:val="28"/>
          <w:szCs w:val="28"/>
        </w:rPr>
        <w:t>在价值时点后，且估价结果有效期内如果资产价格标准发生变化，并对评估值产生明显影响时，委托人应及时聘请估价机构重新确定评估值</w:t>
      </w:r>
      <w:r>
        <w:rPr>
          <w:rFonts w:hint="eastAsia"/>
          <w:spacing w:val="-6"/>
          <w:sz w:val="28"/>
          <w:szCs w:val="28"/>
        </w:rPr>
        <w:t>。</w:t>
      </w:r>
    </w:p>
    <w:p>
      <w:pPr>
        <w:spacing w:line="540" w:lineRule="exact"/>
        <w:ind w:firstLine="560" w:firstLineChars="200"/>
        <w:rPr>
          <w:rFonts w:hint="eastAsia" w:ascii="宋体" w:hAnsi="宋体"/>
          <w:sz w:val="28"/>
          <w:szCs w:val="28"/>
        </w:rPr>
      </w:pPr>
      <w:r>
        <w:rPr>
          <w:rFonts w:hint="eastAsia" w:ascii="宋体" w:hAnsi="宋体"/>
          <w:sz w:val="28"/>
          <w:szCs w:val="28"/>
        </w:rPr>
        <w:t>4、本次估价报告所确定的估价对象价格是在本次估价特定目的及限制条件下的公开市场价格，未考虑已知的法定优先受偿款、处置费用、交易税费等因素的影响，未考虑强制处分快速变现因素的影响，委托人在利用本报告结果时，应予以充分的考虑及重视。</w:t>
      </w:r>
    </w:p>
    <w:p>
      <w:pPr>
        <w:spacing w:line="540" w:lineRule="exact"/>
        <w:ind w:firstLine="560" w:firstLineChars="200"/>
        <w:rPr>
          <w:rFonts w:hint="eastAsia"/>
          <w:sz w:val="28"/>
          <w:szCs w:val="28"/>
        </w:rPr>
      </w:pPr>
      <w:r>
        <w:rPr>
          <w:rFonts w:hint="default" w:ascii="Times New Roman" w:hAnsi="Times New Roman" w:cs="Times New Roman"/>
          <w:sz w:val="28"/>
          <w:szCs w:val="28"/>
        </w:rPr>
        <w:t>5</w:t>
      </w:r>
      <w:r>
        <w:rPr>
          <w:rFonts w:hint="eastAsia" w:ascii="宋体" w:hAnsi="宋体"/>
          <w:sz w:val="28"/>
          <w:szCs w:val="28"/>
        </w:rPr>
        <w:t>、</w:t>
      </w:r>
      <w:r>
        <w:rPr>
          <w:rFonts w:hint="eastAsia"/>
          <w:sz w:val="28"/>
          <w:szCs w:val="28"/>
        </w:rPr>
        <w:t>本估价报告必须完整使用方为有效，对仅使用本报告中部分内容而导致可能的损失，本估价机构不承担责任。</w:t>
      </w:r>
    </w:p>
    <w:p>
      <w:pPr>
        <w:spacing w:line="540" w:lineRule="exact"/>
        <w:ind w:firstLine="560" w:firstLineChars="200"/>
        <w:rPr>
          <w:rFonts w:hint="eastAsia"/>
          <w:sz w:val="28"/>
          <w:szCs w:val="28"/>
        </w:rPr>
      </w:pPr>
      <w:r>
        <w:rPr>
          <w:rFonts w:hint="eastAsia"/>
          <w:sz w:val="28"/>
          <w:szCs w:val="28"/>
        </w:rPr>
        <w:t>6、本估价报告使用期限为一年，自估价报告出具之日起计，超过估价报告使用期限，需重新进行估价。</w:t>
      </w:r>
      <w:bookmarkStart w:id="5" w:name="_Toc275961669"/>
    </w:p>
    <w:p>
      <w:pPr>
        <w:spacing w:line="540" w:lineRule="exact"/>
        <w:rPr>
          <w:rFonts w:hint="eastAsia"/>
          <w:sz w:val="28"/>
          <w:szCs w:val="28"/>
        </w:rPr>
      </w:pPr>
    </w:p>
    <w:p>
      <w:pPr>
        <w:pStyle w:val="2"/>
        <w:keepNext w:val="0"/>
        <w:keepLines w:val="0"/>
        <w:wordWrap w:val="0"/>
        <w:topLinePunct/>
        <w:jc w:val="center"/>
        <w:rPr>
          <w:rFonts w:hint="eastAsia"/>
          <w:sz w:val="36"/>
          <w:szCs w:val="36"/>
        </w:rPr>
      </w:pPr>
      <w:r>
        <w:rPr>
          <w:rFonts w:hint="eastAsia"/>
          <w:sz w:val="36"/>
          <w:szCs w:val="36"/>
        </w:rPr>
        <w:t>房地产估价结果报告</w:t>
      </w:r>
      <w:bookmarkEnd w:id="5"/>
    </w:p>
    <w:p>
      <w:pPr>
        <w:pStyle w:val="3"/>
        <w:keepNext w:val="0"/>
        <w:keepLines w:val="0"/>
        <w:pageBreakBefore w:val="0"/>
        <w:kinsoku/>
        <w:overflowPunct/>
        <w:topLinePunct/>
        <w:autoSpaceDE/>
        <w:autoSpaceDN/>
        <w:bidi w:val="0"/>
        <w:adjustRightInd w:val="0"/>
        <w:snapToGrid/>
        <w:spacing w:before="0" w:after="0" w:line="540" w:lineRule="exact"/>
        <w:ind w:firstLine="562" w:firstLineChars="200"/>
        <w:rPr>
          <w:rFonts w:hint="eastAsia" w:ascii="Times New Roman" w:hAnsi="Times New Roman" w:eastAsia="宋体"/>
          <w:bCs w:val="0"/>
          <w:sz w:val="28"/>
          <w:szCs w:val="28"/>
        </w:rPr>
      </w:pPr>
      <w:bookmarkStart w:id="6" w:name="_Toc275961670"/>
      <w:r>
        <w:rPr>
          <w:rFonts w:hint="eastAsia" w:ascii="Times New Roman" w:hAnsi="Times New Roman" w:eastAsia="宋体" w:cs="宋体"/>
          <w:bCs w:val="0"/>
          <w:sz w:val="28"/>
          <w:szCs w:val="28"/>
        </w:rPr>
        <w:t>一、估价委托人</w:t>
      </w:r>
      <w:bookmarkEnd w:id="6"/>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bCs/>
          <w:sz w:val="28"/>
          <w:szCs w:val="28"/>
        </w:rPr>
      </w:pPr>
      <w:r>
        <w:rPr>
          <w:rFonts w:hint="eastAsia" w:ascii="Times New Roman" w:hAnsi="Times New Roman"/>
          <w:bCs/>
          <w:sz w:val="28"/>
          <w:szCs w:val="28"/>
        </w:rPr>
        <w:t>名称：辽宁省辽阳市中级人民法院</w:t>
      </w:r>
    </w:p>
    <w:p>
      <w:pPr>
        <w:pStyle w:val="3"/>
        <w:keepNext w:val="0"/>
        <w:keepLines w:val="0"/>
        <w:pageBreakBefore w:val="0"/>
        <w:kinsoku/>
        <w:overflowPunct/>
        <w:topLinePunct/>
        <w:autoSpaceDE/>
        <w:autoSpaceDN/>
        <w:bidi w:val="0"/>
        <w:adjustRightInd w:val="0"/>
        <w:snapToGrid/>
        <w:spacing w:before="0" w:after="0" w:line="540" w:lineRule="exact"/>
        <w:ind w:firstLine="562" w:firstLineChars="200"/>
        <w:rPr>
          <w:rFonts w:hint="eastAsia" w:ascii="Times New Roman" w:hAnsi="Times New Roman" w:eastAsia="宋体"/>
          <w:bCs w:val="0"/>
          <w:sz w:val="28"/>
          <w:szCs w:val="28"/>
        </w:rPr>
      </w:pPr>
      <w:bookmarkStart w:id="7" w:name="_Toc275961671"/>
      <w:r>
        <w:rPr>
          <w:rFonts w:hint="eastAsia" w:ascii="Times New Roman" w:hAnsi="Times New Roman" w:eastAsia="宋体" w:cs="宋体"/>
          <w:bCs w:val="0"/>
          <w:sz w:val="28"/>
          <w:szCs w:val="28"/>
        </w:rPr>
        <w:t>二、估价机构</w:t>
      </w:r>
      <w:bookmarkEnd w:id="7"/>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bCs/>
          <w:sz w:val="28"/>
          <w:szCs w:val="28"/>
        </w:rPr>
        <w:t>估价机构：辽宁华阳资产房产土地评估有限公司</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法定代表人：孙广升</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备案证书编号：第100200010号</w:t>
      </w:r>
    </w:p>
    <w:p>
      <w:pPr>
        <w:keepNext w:val="0"/>
        <w:keepLines w:val="0"/>
        <w:pageBreakBefore w:val="0"/>
        <w:kinsoku/>
        <w:overflowPunct/>
        <w:topLinePunct/>
        <w:autoSpaceDE/>
        <w:autoSpaceDN/>
        <w:bidi w:val="0"/>
        <w:adjustRightInd w:val="0"/>
        <w:snapToGrid/>
        <w:spacing w:line="540" w:lineRule="exact"/>
        <w:ind w:firstLine="560" w:firstLineChars="200"/>
        <w:rPr>
          <w:rFonts w:hint="default" w:ascii="Times New Roman" w:hAnsi="Times New Roman" w:eastAsia="宋体"/>
          <w:sz w:val="28"/>
          <w:szCs w:val="28"/>
          <w:lang w:val="en-US" w:eastAsia="zh-CN"/>
        </w:rPr>
      </w:pPr>
      <w:r>
        <w:rPr>
          <w:rFonts w:hint="eastAsia" w:ascii="Times New Roman" w:hAnsi="Times New Roman"/>
          <w:sz w:val="28"/>
          <w:szCs w:val="28"/>
          <w:lang w:val="en-US" w:eastAsia="zh-CN"/>
        </w:rPr>
        <w:t>有效期限：2019年1月23日至2022年1月22日止</w:t>
      </w:r>
    </w:p>
    <w:p>
      <w:pPr>
        <w:keepNext w:val="0"/>
        <w:keepLines w:val="0"/>
        <w:pageBreakBefore w:val="0"/>
        <w:kinsoku/>
        <w:overflowPunct/>
        <w:topLinePunct/>
        <w:autoSpaceDE/>
        <w:autoSpaceDN/>
        <w:bidi w:val="0"/>
        <w:adjustRightInd w:val="0"/>
        <w:snapToGrid/>
        <w:spacing w:line="540" w:lineRule="exact"/>
        <w:ind w:firstLine="560" w:firstLineChars="200"/>
        <w:rPr>
          <w:rFonts w:ascii="Times New Roman" w:hAnsi="Times New Roman"/>
          <w:sz w:val="28"/>
          <w:szCs w:val="28"/>
        </w:rPr>
      </w:pPr>
      <w:r>
        <w:rPr>
          <w:rFonts w:hint="eastAsia" w:ascii="Times New Roman" w:hAnsi="Times New Roman"/>
          <w:sz w:val="28"/>
          <w:szCs w:val="28"/>
        </w:rPr>
        <w:t>统一社会信用代码：912110003188733700</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办公地址：辽宁省辽阳市白塔区劳动街</w:t>
      </w:r>
      <w:r>
        <w:rPr>
          <w:rFonts w:ascii="Times New Roman" w:hAnsi="Times New Roman"/>
          <w:sz w:val="28"/>
          <w:szCs w:val="28"/>
        </w:rPr>
        <w:t>25-3</w:t>
      </w:r>
      <w:r>
        <w:rPr>
          <w:rFonts w:hint="eastAsia" w:ascii="Times New Roman" w:hAnsi="Times New Roman"/>
          <w:sz w:val="28"/>
          <w:szCs w:val="28"/>
        </w:rPr>
        <w:t>号</w:t>
      </w:r>
    </w:p>
    <w:p>
      <w:pPr>
        <w:keepNext w:val="0"/>
        <w:keepLines w:val="0"/>
        <w:pageBreakBefore w:val="0"/>
        <w:kinsoku/>
        <w:overflowPunct/>
        <w:topLinePunct/>
        <w:autoSpaceDE/>
        <w:autoSpaceDN/>
        <w:bidi w:val="0"/>
        <w:adjustRightInd w:val="0"/>
        <w:snapToGrid/>
        <w:spacing w:line="540" w:lineRule="exact"/>
        <w:ind w:firstLine="560" w:firstLineChars="200"/>
        <w:rPr>
          <w:rFonts w:ascii="Times New Roman" w:hAnsi="Times New Roman"/>
          <w:sz w:val="28"/>
          <w:szCs w:val="28"/>
        </w:rPr>
      </w:pPr>
      <w:r>
        <w:rPr>
          <w:rFonts w:hint="eastAsia" w:ascii="Times New Roman" w:hAnsi="Times New Roman"/>
          <w:sz w:val="28"/>
          <w:szCs w:val="28"/>
        </w:rPr>
        <w:t>办公电话</w:t>
      </w:r>
      <w:r>
        <w:rPr>
          <w:rFonts w:ascii="Times New Roman" w:hAnsi="Times New Roman"/>
          <w:sz w:val="28"/>
          <w:szCs w:val="28"/>
        </w:rPr>
        <w:t>：041</w:t>
      </w:r>
      <w:r>
        <w:rPr>
          <w:rFonts w:hint="eastAsia" w:ascii="Times New Roman" w:hAnsi="Times New Roman"/>
          <w:sz w:val="28"/>
          <w:szCs w:val="28"/>
        </w:rPr>
        <w:t>9</w:t>
      </w:r>
      <w:r>
        <w:rPr>
          <w:rFonts w:ascii="Times New Roman" w:hAnsi="Times New Roman"/>
          <w:sz w:val="28"/>
          <w:szCs w:val="28"/>
        </w:rPr>
        <w:t>-2</w:t>
      </w:r>
      <w:r>
        <w:rPr>
          <w:rFonts w:hint="eastAsia" w:ascii="Times New Roman" w:hAnsi="Times New Roman"/>
          <w:sz w:val="28"/>
          <w:szCs w:val="28"/>
        </w:rPr>
        <w:t>155852</w:t>
      </w:r>
      <w:r>
        <w:rPr>
          <w:rFonts w:ascii="Times New Roman" w:hAnsi="Times New Roman"/>
          <w:sz w:val="28"/>
          <w:szCs w:val="28"/>
        </w:rPr>
        <w:t xml:space="preserve">  </w:t>
      </w:r>
    </w:p>
    <w:p>
      <w:pPr>
        <w:keepNext w:val="0"/>
        <w:keepLines w:val="0"/>
        <w:pageBreakBefore w:val="0"/>
        <w:kinsoku/>
        <w:overflowPunct/>
        <w:topLinePunct/>
        <w:autoSpaceDE/>
        <w:autoSpaceDN/>
        <w:bidi w:val="0"/>
        <w:adjustRightInd w:val="0"/>
        <w:snapToGrid/>
        <w:spacing w:line="540" w:lineRule="exact"/>
        <w:ind w:firstLine="562" w:firstLineChars="200"/>
        <w:rPr>
          <w:rFonts w:hint="eastAsia" w:ascii="Times New Roman" w:hAnsi="Times New Roman"/>
          <w:b/>
          <w:sz w:val="28"/>
          <w:szCs w:val="28"/>
        </w:rPr>
      </w:pPr>
      <w:r>
        <w:rPr>
          <w:rFonts w:hint="eastAsia" w:ascii="Times New Roman" w:hAnsi="Times New Roman"/>
          <w:b/>
          <w:sz w:val="28"/>
          <w:szCs w:val="28"/>
        </w:rPr>
        <w:t>三、估价目的</w:t>
      </w:r>
    </w:p>
    <w:p>
      <w:pPr>
        <w:wordWrap w:val="0"/>
        <w:topLinePunct/>
        <w:snapToGrid w:val="0"/>
        <w:spacing w:line="520" w:lineRule="exact"/>
        <w:ind w:firstLine="576"/>
        <w:rPr>
          <w:rFonts w:hint="eastAsia"/>
          <w:spacing w:val="2"/>
          <w:sz w:val="28"/>
          <w:szCs w:val="28"/>
        </w:rPr>
      </w:pPr>
      <w:bookmarkStart w:id="8" w:name="_Toc275961672"/>
      <w:r>
        <w:rPr>
          <w:rFonts w:hint="eastAsia"/>
          <w:sz w:val="28"/>
          <w:szCs w:val="28"/>
        </w:rPr>
        <w:t>为</w:t>
      </w:r>
      <w:r>
        <w:rPr>
          <w:rFonts w:hint="eastAsia"/>
          <w:sz w:val="28"/>
          <w:szCs w:val="28"/>
          <w:lang w:val="en-US" w:eastAsia="zh-CN"/>
        </w:rPr>
        <w:t>辽宁省</w:t>
      </w:r>
      <w:r>
        <w:rPr>
          <w:rFonts w:hint="eastAsia" w:ascii="宋体" w:hAnsi="宋体" w:cs="宋体"/>
          <w:bCs/>
          <w:sz w:val="28"/>
          <w:szCs w:val="28"/>
        </w:rPr>
        <w:t>辽阳市中级人民法院办理案件提供价值参考依据</w:t>
      </w:r>
      <w:r>
        <w:rPr>
          <w:rFonts w:hint="eastAsia"/>
          <w:sz w:val="28"/>
          <w:szCs w:val="28"/>
        </w:rPr>
        <w:t>而评估其房地产市场价值</w:t>
      </w:r>
      <w:r>
        <w:rPr>
          <w:rFonts w:hint="eastAsia"/>
          <w:spacing w:val="2"/>
          <w:sz w:val="28"/>
          <w:szCs w:val="28"/>
        </w:rPr>
        <w:t>。</w:t>
      </w:r>
    </w:p>
    <w:p>
      <w:pPr>
        <w:pStyle w:val="3"/>
        <w:keepNext w:val="0"/>
        <w:keepLines w:val="0"/>
        <w:pageBreakBefore w:val="0"/>
        <w:kinsoku/>
        <w:overflowPunct/>
        <w:topLinePunct/>
        <w:autoSpaceDE/>
        <w:autoSpaceDN/>
        <w:bidi w:val="0"/>
        <w:adjustRightInd w:val="0"/>
        <w:snapToGrid/>
        <w:spacing w:before="0" w:after="0" w:line="540" w:lineRule="exact"/>
        <w:ind w:firstLine="562"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四、估价对象</w:t>
      </w:r>
      <w:bookmarkEnd w:id="8"/>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1、估价对象范围</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本次估价的范围为</w:t>
      </w:r>
      <w:r>
        <w:rPr>
          <w:rFonts w:hint="eastAsia" w:ascii="Times New Roman" w:hAnsi="Times New Roman"/>
          <w:sz w:val="28"/>
        </w:rPr>
        <w:t>位于</w:t>
      </w:r>
      <w:r>
        <w:rPr>
          <w:rFonts w:hint="eastAsia"/>
          <w:spacing w:val="2"/>
          <w:sz w:val="28"/>
          <w:szCs w:val="28"/>
          <w:lang w:eastAsia="zh-CN"/>
        </w:rPr>
        <w:t>辽阳市</w:t>
      </w:r>
      <w:r>
        <w:rPr>
          <w:rFonts w:hint="eastAsia"/>
          <w:spacing w:val="2"/>
          <w:sz w:val="28"/>
          <w:szCs w:val="28"/>
          <w:lang w:val="en-US" w:eastAsia="zh-CN"/>
        </w:rPr>
        <w:t>文圣区太子河路“恒大绿洲”21-19号楼1单元25层50号</w:t>
      </w:r>
      <w:r>
        <w:rPr>
          <w:rFonts w:hint="eastAsia"/>
          <w:spacing w:val="2"/>
          <w:sz w:val="28"/>
          <w:szCs w:val="28"/>
        </w:rPr>
        <w:t>的1处住宅</w:t>
      </w:r>
      <w:r>
        <w:rPr>
          <w:rFonts w:hint="eastAsia" w:ascii="Times New Roman" w:hAnsi="Times New Roman"/>
          <w:spacing w:val="2"/>
          <w:sz w:val="28"/>
          <w:szCs w:val="28"/>
        </w:rPr>
        <w:t>，</w:t>
      </w:r>
      <w:r>
        <w:rPr>
          <w:rFonts w:hint="eastAsia" w:ascii="Times New Roman" w:hAnsi="Times New Roman"/>
          <w:spacing w:val="2"/>
          <w:sz w:val="28"/>
          <w:szCs w:val="28"/>
          <w:lang w:val="en-US" w:eastAsia="zh-CN"/>
        </w:rPr>
        <w:t>建筑面积为187.15㎡。</w:t>
      </w:r>
      <w:r>
        <w:rPr>
          <w:rFonts w:hint="eastAsia" w:ascii="Times New Roman" w:hAnsi="Times New Roman"/>
          <w:spacing w:val="2"/>
          <w:sz w:val="28"/>
          <w:szCs w:val="28"/>
        </w:rPr>
        <w:t>估价范围包括估价对象</w:t>
      </w:r>
      <w:r>
        <w:rPr>
          <w:rFonts w:hint="eastAsia" w:ascii="Times New Roman" w:hAnsi="Times New Roman"/>
          <w:spacing w:val="2"/>
          <w:sz w:val="28"/>
          <w:szCs w:val="28"/>
          <w:lang w:val="en-US" w:eastAsia="zh-CN"/>
        </w:rPr>
        <w:t>相关资料记载</w:t>
      </w:r>
      <w:r>
        <w:rPr>
          <w:rFonts w:hint="eastAsia" w:ascii="Times New Roman" w:hAnsi="Times New Roman"/>
          <w:spacing w:val="2"/>
          <w:sz w:val="28"/>
          <w:szCs w:val="28"/>
        </w:rPr>
        <w:t>的建筑面积部分、其分摊的土地使用权，不包括估价对象室内动产及依附于估价对象的债权债务、特许经营权等其他财产和权益。</w:t>
      </w:r>
    </w:p>
    <w:p>
      <w:pPr>
        <w:keepNext w:val="0"/>
        <w:keepLines w:val="0"/>
        <w:pageBreakBefore w:val="0"/>
        <w:numPr>
          <w:ilvl w:val="0"/>
          <w:numId w:val="2"/>
        </w:numPr>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估价对象实物状况</w:t>
      </w:r>
    </w:p>
    <w:p>
      <w:pPr>
        <w:keepNext w:val="0"/>
        <w:keepLines w:val="0"/>
        <w:pageBreakBefore w:val="0"/>
        <w:kinsoku/>
        <w:overflowPunct/>
        <w:topLinePunct/>
        <w:autoSpaceDE/>
        <w:autoSpaceDN/>
        <w:bidi w:val="0"/>
        <w:adjustRightInd w:val="0"/>
        <w:snapToGrid/>
        <w:spacing w:line="540" w:lineRule="exact"/>
        <w:rPr>
          <w:rFonts w:hint="eastAsia" w:ascii="Times New Roman" w:hAnsi="Times New Roman"/>
          <w:bCs/>
          <w:sz w:val="28"/>
          <w:szCs w:val="28"/>
        </w:rPr>
      </w:pPr>
      <w:r>
        <w:rPr>
          <w:rFonts w:hint="eastAsia" w:ascii="Times New Roman" w:hAnsi="Times New Roman"/>
          <w:sz w:val="28"/>
          <w:szCs w:val="28"/>
        </w:rPr>
        <w:t xml:space="preserve">   </w:t>
      </w:r>
      <w:r>
        <w:rPr>
          <w:rFonts w:hint="eastAsia" w:ascii="Times New Roman" w:hAnsi="Times New Roman"/>
          <w:bCs/>
          <w:sz w:val="28"/>
          <w:szCs w:val="28"/>
        </w:rPr>
        <w:t>（1）土地基本状况</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b/>
          <w:sz w:val="28"/>
          <w:szCs w:val="28"/>
        </w:rPr>
      </w:pPr>
      <w:r>
        <w:rPr>
          <w:rFonts w:hint="eastAsia" w:ascii="Times New Roman" w:hAnsi="Times New Roman"/>
          <w:sz w:val="28"/>
          <w:szCs w:val="28"/>
        </w:rPr>
        <w:t>估价委托人提供</w:t>
      </w:r>
      <w:r>
        <w:rPr>
          <w:rFonts w:hint="eastAsia" w:ascii="Times New Roman" w:hAnsi="Times New Roman"/>
          <w:sz w:val="28"/>
          <w:szCs w:val="28"/>
          <w:lang w:val="en-US" w:eastAsia="zh-CN"/>
        </w:rPr>
        <w:t>的不动产权情况表未载明土地权属情况</w:t>
      </w:r>
      <w:r>
        <w:rPr>
          <w:rFonts w:hint="eastAsia" w:ascii="Times New Roman" w:hAnsi="Times New Roman"/>
          <w:sz w:val="28"/>
          <w:szCs w:val="28"/>
        </w:rPr>
        <w:t>，准确的土地使用权状况应以当地土地管理部门最终确认的为准。</w:t>
      </w:r>
    </w:p>
    <w:p>
      <w:pPr>
        <w:keepNext w:val="0"/>
        <w:keepLines w:val="0"/>
        <w:pageBreakBefore w:val="0"/>
        <w:kinsoku/>
        <w:overflowPunct/>
        <w:topLinePunct/>
        <w:autoSpaceDE/>
        <w:autoSpaceDN/>
        <w:bidi w:val="0"/>
        <w:adjustRightInd w:val="0"/>
        <w:snapToGrid/>
        <w:spacing w:line="540" w:lineRule="exact"/>
        <w:rPr>
          <w:rFonts w:hint="eastAsia" w:ascii="Times New Roman" w:hAnsi="Times New Roman"/>
          <w:sz w:val="28"/>
          <w:szCs w:val="28"/>
        </w:rPr>
      </w:pPr>
      <w:r>
        <w:rPr>
          <w:rFonts w:hint="eastAsia" w:ascii="Times New Roman" w:hAnsi="Times New Roman"/>
          <w:b/>
          <w:sz w:val="28"/>
          <w:szCs w:val="28"/>
        </w:rPr>
        <w:t xml:space="preserve">   </w:t>
      </w:r>
      <w:bookmarkStart w:id="9" w:name="_Toc416160337"/>
      <w:r>
        <w:rPr>
          <w:rFonts w:hint="eastAsia" w:ascii="Times New Roman" w:hAnsi="Times New Roman"/>
          <w:b/>
          <w:sz w:val="28"/>
          <w:szCs w:val="28"/>
        </w:rPr>
        <w:t xml:space="preserve"> </w:t>
      </w:r>
      <w:r>
        <w:rPr>
          <w:rFonts w:hint="eastAsia" w:ascii="Times New Roman" w:hAnsi="Times New Roman"/>
          <w:sz w:val="28"/>
          <w:szCs w:val="28"/>
        </w:rPr>
        <w:t>（2）建筑物实物状况</w:t>
      </w:r>
    </w:p>
    <w:p>
      <w:pPr>
        <w:keepNext w:val="0"/>
        <w:keepLines w:val="0"/>
        <w:pageBreakBefore w:val="0"/>
        <w:tabs>
          <w:tab w:val="left" w:pos="4968"/>
        </w:tabs>
        <w:kinsoku/>
        <w:overflowPunct/>
        <w:topLinePunct/>
        <w:autoSpaceDE/>
        <w:autoSpaceDN/>
        <w:bidi w:val="0"/>
        <w:adjustRightInd w:val="0"/>
        <w:snapToGrid/>
        <w:spacing w:line="540" w:lineRule="exact"/>
        <w:ind w:firstLine="560" w:firstLineChars="200"/>
        <w:textAlignment w:val="center"/>
        <w:rPr>
          <w:rFonts w:hint="eastAsia" w:ascii="Times New Roman" w:hAnsi="Times New Roman"/>
          <w:sz w:val="28"/>
          <w:szCs w:val="28"/>
        </w:rPr>
      </w:pPr>
      <w:r>
        <w:rPr>
          <w:rFonts w:hint="eastAsia" w:ascii="Times New Roman" w:hAnsi="Times New Roman"/>
          <w:sz w:val="28"/>
          <w:szCs w:val="28"/>
        </w:rPr>
        <w:t>估价对象位于</w:t>
      </w:r>
      <w:r>
        <w:rPr>
          <w:rFonts w:hint="eastAsia"/>
          <w:spacing w:val="2"/>
          <w:sz w:val="28"/>
          <w:szCs w:val="28"/>
          <w:lang w:eastAsia="zh-CN"/>
        </w:rPr>
        <w:t>辽阳市</w:t>
      </w:r>
      <w:r>
        <w:rPr>
          <w:rFonts w:hint="eastAsia"/>
          <w:spacing w:val="2"/>
          <w:sz w:val="28"/>
          <w:szCs w:val="28"/>
          <w:lang w:val="en-US" w:eastAsia="zh-CN"/>
        </w:rPr>
        <w:t>文圣区太子河路“恒大绿洲”21-19号楼1单元25层50号</w:t>
      </w:r>
      <w:r>
        <w:rPr>
          <w:rFonts w:hint="eastAsia" w:ascii="Times New Roman" w:hAnsi="Times New Roman"/>
          <w:sz w:val="28"/>
          <w:szCs w:val="28"/>
        </w:rPr>
        <w:t>。</w:t>
      </w:r>
    </w:p>
    <w:p>
      <w:pPr>
        <w:keepNext w:val="0"/>
        <w:keepLines w:val="0"/>
        <w:pageBreakBefore w:val="0"/>
        <w:tabs>
          <w:tab w:val="left" w:pos="4968"/>
        </w:tabs>
        <w:kinsoku/>
        <w:overflowPunct/>
        <w:topLinePunct/>
        <w:autoSpaceDE/>
        <w:autoSpaceDN/>
        <w:bidi w:val="0"/>
        <w:adjustRightInd w:val="0"/>
        <w:snapToGrid/>
        <w:spacing w:line="540" w:lineRule="exact"/>
        <w:ind w:firstLine="560" w:firstLineChars="200"/>
        <w:textAlignment w:val="center"/>
        <w:rPr>
          <w:rFonts w:hint="default" w:ascii="Times New Roman" w:hAnsi="Times New Roman" w:eastAsia="宋体"/>
          <w:sz w:val="28"/>
          <w:szCs w:val="28"/>
          <w:lang w:val="en-US" w:eastAsia="zh-CN"/>
        </w:rPr>
      </w:pPr>
      <w:r>
        <w:rPr>
          <w:rFonts w:hint="eastAsia" w:ascii="Times New Roman" w:hAnsi="Times New Roman"/>
          <w:sz w:val="28"/>
          <w:szCs w:val="28"/>
        </w:rPr>
        <w:t>估价对象</w:t>
      </w:r>
      <w:r>
        <w:rPr>
          <w:rFonts w:hint="eastAsia" w:ascii="Times New Roman" w:hAnsi="Times New Roman"/>
          <w:bCs/>
          <w:sz w:val="28"/>
          <w:szCs w:val="28"/>
        </w:rPr>
        <w:t>建筑结构为</w:t>
      </w:r>
      <w:r>
        <w:rPr>
          <w:rFonts w:hint="eastAsia" w:ascii="Times New Roman" w:hAnsi="Times New Roman"/>
          <w:bCs/>
          <w:sz w:val="28"/>
          <w:szCs w:val="28"/>
          <w:lang w:val="en-US" w:eastAsia="zh-CN"/>
        </w:rPr>
        <w:t>钢筋混凝土</w:t>
      </w:r>
      <w:r>
        <w:rPr>
          <w:rFonts w:hint="eastAsia" w:ascii="Times New Roman" w:hAnsi="Times New Roman"/>
          <w:bCs/>
          <w:sz w:val="28"/>
          <w:szCs w:val="28"/>
        </w:rPr>
        <w:t>，</w:t>
      </w:r>
      <w:r>
        <w:rPr>
          <w:rFonts w:hint="eastAsia" w:ascii="Times New Roman" w:hAnsi="Times New Roman"/>
          <w:sz w:val="28"/>
          <w:szCs w:val="28"/>
        </w:rPr>
        <w:t>南北朝向，总</w:t>
      </w:r>
      <w:r>
        <w:rPr>
          <w:rFonts w:hint="eastAsia" w:ascii="Times New Roman" w:hAnsi="Times New Roman"/>
          <w:bCs/>
          <w:sz w:val="28"/>
          <w:szCs w:val="28"/>
        </w:rPr>
        <w:t>层数</w:t>
      </w:r>
      <w:r>
        <w:rPr>
          <w:rFonts w:hint="eastAsia" w:ascii="Times New Roman" w:hAnsi="Times New Roman"/>
          <w:bCs/>
          <w:sz w:val="28"/>
          <w:szCs w:val="28"/>
          <w:lang w:val="en-US" w:eastAsia="zh-CN"/>
        </w:rPr>
        <w:t>32</w:t>
      </w:r>
      <w:r>
        <w:rPr>
          <w:rFonts w:hint="eastAsia" w:ascii="Times New Roman" w:hAnsi="Times New Roman"/>
          <w:bCs/>
          <w:sz w:val="28"/>
          <w:szCs w:val="28"/>
        </w:rPr>
        <w:t>层；所在层为</w:t>
      </w:r>
      <w:r>
        <w:rPr>
          <w:rFonts w:hint="eastAsia" w:ascii="Times New Roman" w:hAnsi="Times New Roman"/>
          <w:bCs/>
          <w:sz w:val="28"/>
          <w:szCs w:val="28"/>
          <w:lang w:val="en-US" w:eastAsia="zh-CN"/>
        </w:rPr>
        <w:t>25</w:t>
      </w:r>
      <w:r>
        <w:rPr>
          <w:rFonts w:hint="eastAsia" w:ascii="Times New Roman" w:hAnsi="Times New Roman"/>
          <w:bCs/>
          <w:sz w:val="28"/>
          <w:szCs w:val="28"/>
        </w:rPr>
        <w:t>层规划用途为住宅；建筑面积为</w:t>
      </w:r>
      <w:r>
        <w:rPr>
          <w:rFonts w:hint="eastAsia" w:ascii="Times New Roman" w:hAnsi="Times New Roman"/>
          <w:bCs/>
          <w:sz w:val="28"/>
          <w:szCs w:val="28"/>
          <w:lang w:val="en-US" w:eastAsia="zh-CN"/>
        </w:rPr>
        <w:t>187.15</w:t>
      </w:r>
      <w:r>
        <w:rPr>
          <w:rFonts w:hint="eastAsia" w:ascii="Times New Roman" w:hAnsi="Times New Roman"/>
          <w:bCs/>
          <w:sz w:val="28"/>
          <w:szCs w:val="28"/>
        </w:rPr>
        <w:t>平方米；</w:t>
      </w:r>
      <w:r>
        <w:rPr>
          <w:rFonts w:hint="eastAsia" w:ascii="Times New Roman" w:hAnsi="Times New Roman"/>
          <w:sz w:val="28"/>
          <w:szCs w:val="28"/>
        </w:rPr>
        <w:t>外墙面</w:t>
      </w:r>
      <w:r>
        <w:rPr>
          <w:rFonts w:hint="eastAsia" w:ascii="Times New Roman" w:hAnsi="Times New Roman"/>
          <w:sz w:val="28"/>
          <w:szCs w:val="28"/>
          <w:lang w:val="en-US" w:eastAsia="zh-CN"/>
        </w:rPr>
        <w:t>抹灰</w:t>
      </w:r>
      <w:r>
        <w:rPr>
          <w:rFonts w:hint="eastAsia" w:ascii="Times New Roman" w:hAnsi="Times New Roman"/>
          <w:sz w:val="28"/>
          <w:szCs w:val="28"/>
        </w:rPr>
        <w:t>刷涂料，进户门为防盗门。</w:t>
      </w:r>
      <w:r>
        <w:rPr>
          <w:rFonts w:hint="eastAsia" w:ascii="Times New Roman" w:hAnsi="Times New Roman"/>
          <w:sz w:val="28"/>
          <w:szCs w:val="28"/>
          <w:lang w:val="en-US" w:eastAsia="zh-CN"/>
        </w:rPr>
        <w:t>未能进入到室内，室内情况不详。</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3.权益状况</w:t>
      </w:r>
      <w:bookmarkStart w:id="21" w:name="_GoBack"/>
      <w:bookmarkEnd w:id="21"/>
    </w:p>
    <w:p>
      <w:pPr>
        <w:keepNext w:val="0"/>
        <w:keepLines w:val="0"/>
        <w:pageBreakBefore w:val="0"/>
        <w:kinsoku/>
        <w:overflowPunct/>
        <w:topLinePunct/>
        <w:autoSpaceDE/>
        <w:autoSpaceDN/>
        <w:bidi w:val="0"/>
        <w:adjustRightInd w:val="0"/>
        <w:snapToGrid/>
        <w:spacing w:line="540" w:lineRule="exact"/>
        <w:ind w:firstLine="560" w:firstLineChars="200"/>
        <w:jc w:val="left"/>
        <w:rPr>
          <w:rFonts w:hint="eastAsia" w:ascii="Times New Roman" w:hAnsi="Times New Roman"/>
          <w:bCs/>
          <w:sz w:val="28"/>
          <w:szCs w:val="28"/>
        </w:rPr>
      </w:pPr>
      <w:r>
        <w:rPr>
          <w:rFonts w:hint="eastAsia" w:ascii="Times New Roman" w:hAnsi="Times New Roman"/>
          <w:sz w:val="28"/>
          <w:szCs w:val="28"/>
          <w:lang w:val="en-US" w:eastAsia="zh-CN"/>
        </w:rPr>
        <w:t>鉴定委托人、申请人提供的</w:t>
      </w:r>
      <w:r>
        <w:rPr>
          <w:rFonts w:hint="eastAsia"/>
          <w:sz w:val="28"/>
          <w:szCs w:val="28"/>
          <w:lang w:val="en-US" w:eastAsia="zh-CN"/>
        </w:rPr>
        <w:t>不动产产权情况表</w:t>
      </w:r>
      <w:r>
        <w:rPr>
          <w:rFonts w:hint="eastAsia" w:ascii="Times New Roman" w:hAnsi="Times New Roman"/>
          <w:bCs/>
          <w:sz w:val="28"/>
          <w:szCs w:val="28"/>
        </w:rPr>
        <w:t>，估价对象房屋所有权人为</w:t>
      </w:r>
      <w:r>
        <w:rPr>
          <w:rFonts w:hint="eastAsia" w:ascii="Times New Roman" w:hAnsi="Times New Roman"/>
          <w:bCs/>
          <w:sz w:val="28"/>
          <w:szCs w:val="28"/>
          <w:lang w:val="en-US" w:eastAsia="zh-CN"/>
        </w:rPr>
        <w:t>李丽红、闵学斌</w:t>
      </w:r>
      <w:r>
        <w:rPr>
          <w:rFonts w:hint="eastAsia" w:ascii="Times New Roman" w:hAnsi="Times New Roman"/>
          <w:bCs/>
          <w:sz w:val="28"/>
          <w:szCs w:val="28"/>
        </w:rPr>
        <w:t>。</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4．区位状况描述</w:t>
      </w:r>
    </w:p>
    <w:p>
      <w:pPr>
        <w:keepNext w:val="0"/>
        <w:keepLines w:val="0"/>
        <w:pageBreakBefore w:val="0"/>
        <w:tabs>
          <w:tab w:val="left" w:pos="7280"/>
        </w:tabs>
        <w:kinsoku/>
        <w:overflowPunct/>
        <w:topLinePunct/>
        <w:autoSpaceDE/>
        <w:autoSpaceDN/>
        <w:bidi w:val="0"/>
        <w:adjustRightInd w:val="0"/>
        <w:snapToGrid/>
        <w:spacing w:line="540" w:lineRule="exact"/>
        <w:rPr>
          <w:rFonts w:hint="default" w:ascii="Times New Roman" w:hAnsi="Times New Roman" w:eastAsia="宋体"/>
          <w:sz w:val="28"/>
          <w:szCs w:val="28"/>
          <w:lang w:val="en-US" w:eastAsia="zh-CN"/>
        </w:rPr>
      </w:pPr>
      <w:r>
        <w:rPr>
          <w:rFonts w:hint="eastAsia" w:ascii="Times New Roman" w:hAnsi="Times New Roman"/>
          <w:sz w:val="28"/>
          <w:szCs w:val="28"/>
        </w:rPr>
        <w:t xml:space="preserve">   （1）位置状况描述：估价对象位于</w:t>
      </w:r>
      <w:r>
        <w:rPr>
          <w:rFonts w:hint="eastAsia"/>
          <w:spacing w:val="2"/>
          <w:sz w:val="28"/>
          <w:szCs w:val="28"/>
          <w:lang w:eastAsia="zh-CN"/>
        </w:rPr>
        <w:t>辽阳市</w:t>
      </w:r>
      <w:r>
        <w:rPr>
          <w:rFonts w:hint="eastAsia"/>
          <w:spacing w:val="2"/>
          <w:sz w:val="28"/>
          <w:szCs w:val="28"/>
          <w:lang w:val="en-US" w:eastAsia="zh-CN"/>
        </w:rPr>
        <w:t>文圣区太子河路“恒大绿洲”21-19号楼1单元25层50号</w:t>
      </w:r>
      <w:r>
        <w:rPr>
          <w:rFonts w:hint="eastAsia" w:ascii="Times New Roman" w:hAnsi="Times New Roman"/>
          <w:sz w:val="28"/>
          <w:szCs w:val="28"/>
        </w:rPr>
        <w:t>。</w:t>
      </w:r>
      <w:r>
        <w:rPr>
          <w:rFonts w:hint="eastAsia" w:ascii="Times New Roman" w:hAnsi="Times New Roman"/>
          <w:sz w:val="28"/>
          <w:szCs w:val="28"/>
          <w:lang w:val="en-US" w:eastAsia="zh-CN"/>
        </w:rPr>
        <w:t>隶属于文圣区管辖。</w:t>
      </w:r>
    </w:p>
    <w:p>
      <w:pPr>
        <w:keepNext w:val="0"/>
        <w:keepLines w:val="0"/>
        <w:pageBreakBefore w:val="0"/>
        <w:tabs>
          <w:tab w:val="left" w:pos="7280"/>
        </w:tabs>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（2）道路和交通状况：估价对象所在小区道路通达状况</w:t>
      </w:r>
      <w:r>
        <w:rPr>
          <w:rFonts w:hint="eastAsia" w:ascii="Times New Roman" w:hAnsi="Times New Roman"/>
          <w:sz w:val="28"/>
          <w:szCs w:val="28"/>
          <w:lang w:val="en-US" w:eastAsia="zh-CN"/>
        </w:rPr>
        <w:t>较好</w:t>
      </w:r>
      <w:r>
        <w:rPr>
          <w:rFonts w:hint="eastAsia" w:ascii="Times New Roman" w:hAnsi="Times New Roman"/>
          <w:sz w:val="28"/>
          <w:szCs w:val="28"/>
        </w:rPr>
        <w:t>。周围有</w:t>
      </w:r>
      <w:r>
        <w:rPr>
          <w:rFonts w:hint="eastAsia" w:ascii="Times New Roman" w:hAnsi="Times New Roman"/>
          <w:sz w:val="28"/>
          <w:szCs w:val="28"/>
          <w:lang w:val="en-US" w:eastAsia="zh-CN"/>
        </w:rPr>
        <w:t>3、32、33、36、41</w:t>
      </w:r>
      <w:r>
        <w:rPr>
          <w:rFonts w:hint="eastAsia" w:ascii="Times New Roman" w:hAnsi="Times New Roman"/>
          <w:sz w:val="28"/>
          <w:szCs w:val="28"/>
        </w:rPr>
        <w:t>路公交车通</w:t>
      </w:r>
      <w:r>
        <w:rPr>
          <w:rFonts w:hint="eastAsia" w:ascii="Times New Roman" w:hAnsi="Times New Roman"/>
          <w:sz w:val="28"/>
          <w:szCs w:val="28"/>
          <w:lang w:val="en-US" w:eastAsia="zh-CN"/>
        </w:rPr>
        <w:t>往市区、小屯</w:t>
      </w:r>
      <w:r>
        <w:rPr>
          <w:rFonts w:hint="eastAsia" w:ascii="Times New Roman" w:hAnsi="Times New Roman"/>
          <w:sz w:val="28"/>
          <w:szCs w:val="28"/>
        </w:rPr>
        <w:t>。</w:t>
      </w:r>
    </w:p>
    <w:p>
      <w:pPr>
        <w:keepNext w:val="0"/>
        <w:keepLines w:val="0"/>
        <w:pageBreakBefore w:val="0"/>
        <w:tabs>
          <w:tab w:val="left" w:pos="7280"/>
        </w:tabs>
        <w:kinsoku/>
        <w:overflowPunct/>
        <w:topLinePunct/>
        <w:autoSpaceDE/>
        <w:autoSpaceDN/>
        <w:bidi w:val="0"/>
        <w:adjustRightInd w:val="0"/>
        <w:snapToGrid/>
        <w:spacing w:line="540" w:lineRule="exact"/>
        <w:ind w:firstLine="420" w:firstLineChars="150"/>
        <w:rPr>
          <w:rFonts w:hint="eastAsia" w:ascii="Times New Roman" w:hAnsi="Times New Roman"/>
          <w:sz w:val="28"/>
          <w:szCs w:val="28"/>
        </w:rPr>
      </w:pPr>
      <w:r>
        <w:rPr>
          <w:rFonts w:hint="eastAsia" w:ascii="Times New Roman" w:hAnsi="Times New Roman"/>
          <w:sz w:val="28"/>
          <w:szCs w:val="28"/>
        </w:rPr>
        <w:t>（3）基础设施条件</w:t>
      </w:r>
      <w:r>
        <w:rPr>
          <w:rFonts w:hint="eastAsia" w:ascii="Times New Roman" w:hAnsi="Times New Roman"/>
          <w:b/>
          <w:sz w:val="28"/>
          <w:szCs w:val="28"/>
        </w:rPr>
        <w:t>：</w:t>
      </w:r>
      <w:r>
        <w:rPr>
          <w:rFonts w:hint="eastAsia" w:ascii="Times New Roman" w:hAnsi="Times New Roman"/>
          <w:sz w:val="28"/>
          <w:szCs w:val="28"/>
        </w:rPr>
        <w:t>估价对象周围市政配套设施均已达“</w:t>
      </w:r>
      <w:r>
        <w:rPr>
          <w:rFonts w:hint="eastAsia" w:ascii="Times New Roman" w:hAnsi="Times New Roman"/>
          <w:sz w:val="28"/>
          <w:szCs w:val="28"/>
          <w:lang w:val="en-US" w:eastAsia="zh-CN"/>
        </w:rPr>
        <w:t>七</w:t>
      </w:r>
      <w:r>
        <w:rPr>
          <w:rFonts w:hint="eastAsia" w:ascii="Times New Roman" w:hAnsi="Times New Roman"/>
          <w:sz w:val="28"/>
          <w:szCs w:val="28"/>
        </w:rPr>
        <w:t>通”，即</w:t>
      </w:r>
      <w:r>
        <w:rPr>
          <w:rFonts w:hint="eastAsia" w:ascii="Times New Roman" w:hAnsi="Times New Roman"/>
          <w:sz w:val="28"/>
          <w:szCs w:val="28"/>
          <w:lang w:val="en-US" w:eastAsia="zh-CN"/>
        </w:rPr>
        <w:t>通</w:t>
      </w:r>
      <w:r>
        <w:rPr>
          <w:rFonts w:hint="eastAsia" w:ascii="Times New Roman" w:hAnsi="Times New Roman"/>
          <w:sz w:val="28"/>
          <w:szCs w:val="28"/>
        </w:rPr>
        <w:t>水、排水、通电、通讯、通路、通暖</w:t>
      </w:r>
      <w:r>
        <w:rPr>
          <w:rFonts w:hint="eastAsia" w:ascii="Times New Roman" w:hAnsi="Times New Roman"/>
          <w:sz w:val="28"/>
          <w:szCs w:val="28"/>
          <w:lang w:eastAsia="zh-CN"/>
        </w:rPr>
        <w:t>、</w:t>
      </w:r>
      <w:r>
        <w:rPr>
          <w:rFonts w:hint="eastAsia" w:ascii="Times New Roman" w:hAnsi="Times New Roman"/>
          <w:sz w:val="28"/>
          <w:szCs w:val="28"/>
          <w:lang w:val="en-US" w:eastAsia="zh-CN"/>
        </w:rPr>
        <w:t>通气</w:t>
      </w:r>
      <w:r>
        <w:rPr>
          <w:rFonts w:hint="eastAsia" w:ascii="Times New Roman" w:hAnsi="Times New Roman"/>
          <w:sz w:val="28"/>
          <w:szCs w:val="28"/>
        </w:rPr>
        <w:t>，基本生活设施条件较好。</w:t>
      </w:r>
    </w:p>
    <w:p>
      <w:pPr>
        <w:keepNext w:val="0"/>
        <w:keepLines w:val="0"/>
        <w:pageBreakBefore w:val="0"/>
        <w:widowControl w:val="0"/>
        <w:tabs>
          <w:tab w:val="left" w:pos="7280"/>
        </w:tabs>
        <w:kinsoku/>
        <w:wordWrap/>
        <w:overflowPunct/>
        <w:topLinePunct/>
        <w:autoSpaceDE/>
        <w:autoSpaceDN/>
        <w:bidi w:val="0"/>
        <w:adjustRightInd w:val="0"/>
        <w:snapToGrid/>
        <w:spacing w:line="540" w:lineRule="exact"/>
        <w:ind w:firstLine="560" w:firstLineChars="200"/>
        <w:textAlignment w:val="auto"/>
        <w:outlineLvl w:val="9"/>
        <w:rPr>
          <w:rFonts w:hint="eastAsia" w:ascii="Times New Roman" w:hAnsi="Times New Roman"/>
          <w:sz w:val="28"/>
          <w:szCs w:val="28"/>
        </w:rPr>
      </w:pPr>
      <w:r>
        <w:rPr>
          <w:rFonts w:hint="eastAsia" w:ascii="Times New Roman" w:hAnsi="Times New Roman"/>
          <w:sz w:val="28"/>
          <w:szCs w:val="28"/>
        </w:rPr>
        <w:t>（4）外部配套设施状况：估价对象附近有</w:t>
      </w:r>
      <w:r>
        <w:rPr>
          <w:rFonts w:hint="eastAsia" w:ascii="Times New Roman" w:hAnsi="Times New Roman"/>
          <w:sz w:val="28"/>
          <w:szCs w:val="28"/>
          <w:lang w:eastAsia="zh-CN"/>
        </w:rPr>
        <w:t>“</w:t>
      </w:r>
      <w:r>
        <w:rPr>
          <w:rFonts w:hint="eastAsia" w:ascii="Times New Roman" w:hAnsi="Times New Roman"/>
          <w:sz w:val="28"/>
          <w:szCs w:val="28"/>
          <w:lang w:val="en-US" w:eastAsia="zh-CN"/>
        </w:rPr>
        <w:t>锦绣澜湾</w:t>
      </w:r>
      <w:r>
        <w:rPr>
          <w:rFonts w:hint="eastAsia" w:ascii="Times New Roman" w:hAnsi="Times New Roman"/>
          <w:sz w:val="28"/>
          <w:szCs w:val="28"/>
          <w:lang w:eastAsia="zh-CN"/>
        </w:rPr>
        <w:t>”、“</w:t>
      </w:r>
      <w:r>
        <w:rPr>
          <w:rFonts w:hint="eastAsia" w:ascii="Times New Roman" w:hAnsi="Times New Roman"/>
          <w:sz w:val="28"/>
          <w:szCs w:val="28"/>
          <w:lang w:val="en-US" w:eastAsia="zh-CN"/>
        </w:rPr>
        <w:t>保莱</w:t>
      </w:r>
      <w:r>
        <w:rPr>
          <w:rFonts w:hint="eastAsia" w:ascii="Times New Roman" w:hAnsi="Times New Roman"/>
          <w:sz w:val="28"/>
          <w:szCs w:val="28"/>
          <w:lang w:eastAsia="zh-CN"/>
        </w:rPr>
        <w:t>”、“</w:t>
      </w:r>
      <w:r>
        <w:rPr>
          <w:rFonts w:hint="eastAsia" w:ascii="Times New Roman" w:hAnsi="Times New Roman"/>
          <w:sz w:val="28"/>
          <w:szCs w:val="28"/>
          <w:lang w:val="en-US" w:eastAsia="zh-CN"/>
        </w:rPr>
        <w:t>阳光花园</w:t>
      </w:r>
      <w:r>
        <w:rPr>
          <w:rFonts w:hint="eastAsia" w:ascii="Times New Roman" w:hAnsi="Times New Roman"/>
          <w:sz w:val="28"/>
          <w:szCs w:val="28"/>
          <w:lang w:eastAsia="zh-CN"/>
        </w:rPr>
        <w:t>”、“</w:t>
      </w:r>
      <w:r>
        <w:rPr>
          <w:rFonts w:hint="eastAsia" w:ascii="Times New Roman" w:hAnsi="Times New Roman"/>
          <w:sz w:val="28"/>
          <w:szCs w:val="28"/>
          <w:lang w:val="en-US" w:eastAsia="zh-CN"/>
        </w:rPr>
        <w:t>龙源山居</w:t>
      </w:r>
      <w:r>
        <w:rPr>
          <w:rFonts w:hint="eastAsia" w:ascii="Times New Roman" w:hAnsi="Times New Roman"/>
          <w:sz w:val="28"/>
          <w:szCs w:val="28"/>
          <w:lang w:eastAsia="zh-CN"/>
        </w:rPr>
        <w:t>”</w:t>
      </w:r>
      <w:r>
        <w:rPr>
          <w:rFonts w:hint="eastAsia" w:ascii="Times New Roman" w:hAnsi="Times New Roman"/>
          <w:sz w:val="28"/>
          <w:szCs w:val="28"/>
        </w:rPr>
        <w:t>等住宅小区</w:t>
      </w:r>
      <w:r>
        <w:rPr>
          <w:rFonts w:hint="eastAsia" w:ascii="Times New Roman" w:hAnsi="Times New Roman"/>
          <w:sz w:val="28"/>
          <w:szCs w:val="28"/>
          <w:lang w:eastAsia="zh-CN"/>
        </w:rPr>
        <w:t>，</w:t>
      </w:r>
      <w:r>
        <w:rPr>
          <w:rFonts w:hint="eastAsia" w:ascii="Times New Roman" w:hAnsi="Times New Roman"/>
          <w:sz w:val="28"/>
          <w:szCs w:val="28"/>
          <w:lang w:val="en-US" w:eastAsia="zh-CN"/>
        </w:rPr>
        <w:t>辽阳市第十一中学（九年一贯制）、中国农业银行、辽阳银行、邮政储蓄银行、农贸市场、超市、酒楼、辽阳市中心医院新城医院、图书馆、科技馆、美术馆、辽阳剧院等各种公共配套设施</w:t>
      </w:r>
      <w:r>
        <w:rPr>
          <w:rFonts w:hint="eastAsia" w:ascii="Times New Roman" w:hAnsi="Times New Roman"/>
          <w:sz w:val="28"/>
          <w:szCs w:val="28"/>
        </w:rPr>
        <w:t>。</w:t>
      </w:r>
    </w:p>
    <w:p>
      <w:pPr>
        <w:keepNext w:val="0"/>
        <w:keepLines w:val="0"/>
        <w:pageBreakBefore w:val="0"/>
        <w:kinsoku/>
        <w:overflowPunct/>
        <w:topLinePunct/>
        <w:autoSpaceDE/>
        <w:autoSpaceDN/>
        <w:bidi w:val="0"/>
        <w:adjustRightInd w:val="0"/>
        <w:snapToGrid/>
        <w:spacing w:line="540" w:lineRule="exact"/>
        <w:ind w:firstLine="562" w:firstLineChars="200"/>
        <w:outlineLvl w:val="1"/>
        <w:rPr>
          <w:rFonts w:hint="eastAsia" w:ascii="Times New Roman" w:hAnsi="Times New Roman"/>
          <w:b/>
          <w:bCs/>
          <w:sz w:val="28"/>
          <w:szCs w:val="28"/>
        </w:rPr>
      </w:pPr>
      <w:bookmarkStart w:id="10" w:name="_Toc13864"/>
      <w:bookmarkStart w:id="11" w:name="_Toc689"/>
      <w:r>
        <w:rPr>
          <w:rFonts w:hint="eastAsia" w:ascii="Times New Roman" w:hAnsi="Times New Roman"/>
          <w:b/>
          <w:bCs/>
          <w:sz w:val="28"/>
          <w:szCs w:val="28"/>
        </w:rPr>
        <w:t>五、价值时点</w:t>
      </w:r>
      <w:bookmarkEnd w:id="9"/>
      <w:bookmarkEnd w:id="10"/>
      <w:bookmarkEnd w:id="11"/>
      <w:r>
        <w:rPr>
          <w:rFonts w:hint="eastAsia" w:ascii="Times New Roman" w:hAnsi="Times New Roman"/>
          <w:b/>
          <w:bCs/>
          <w:sz w:val="28"/>
          <w:szCs w:val="28"/>
        </w:rPr>
        <w:t xml:space="preserve"> </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lang w:eastAsia="zh-CN"/>
        </w:rPr>
        <w:t>201</w:t>
      </w:r>
      <w:r>
        <w:rPr>
          <w:rFonts w:hint="eastAsia" w:ascii="Times New Roman" w:hAnsi="Times New Roman"/>
          <w:sz w:val="28"/>
          <w:szCs w:val="28"/>
          <w:lang w:val="en-US" w:eastAsia="zh-CN"/>
        </w:rPr>
        <w:t>9</w:t>
      </w:r>
      <w:r>
        <w:rPr>
          <w:rFonts w:hint="eastAsia" w:ascii="Times New Roman" w:hAnsi="Times New Roman"/>
          <w:sz w:val="28"/>
          <w:szCs w:val="28"/>
          <w:lang w:eastAsia="zh-CN"/>
        </w:rPr>
        <w:t>年</w:t>
      </w:r>
      <w:r>
        <w:rPr>
          <w:rFonts w:hint="eastAsia" w:ascii="Times New Roman" w:hAnsi="Times New Roman"/>
          <w:sz w:val="28"/>
          <w:szCs w:val="28"/>
          <w:lang w:val="en-US" w:eastAsia="zh-CN"/>
        </w:rPr>
        <w:t>09</w:t>
      </w:r>
      <w:r>
        <w:rPr>
          <w:rFonts w:hint="eastAsia" w:ascii="Times New Roman" w:hAnsi="Times New Roman"/>
          <w:sz w:val="28"/>
          <w:szCs w:val="28"/>
          <w:lang w:eastAsia="zh-CN"/>
        </w:rPr>
        <w:t>月</w:t>
      </w:r>
      <w:r>
        <w:rPr>
          <w:rFonts w:hint="eastAsia" w:ascii="Times New Roman" w:hAnsi="Times New Roman"/>
          <w:sz w:val="28"/>
          <w:szCs w:val="28"/>
          <w:lang w:val="en-US" w:eastAsia="zh-CN"/>
        </w:rPr>
        <w:t>23</w:t>
      </w:r>
      <w:r>
        <w:rPr>
          <w:rFonts w:hint="eastAsia" w:ascii="Times New Roman" w:hAnsi="Times New Roman"/>
          <w:sz w:val="28"/>
          <w:szCs w:val="28"/>
          <w:lang w:eastAsia="zh-CN"/>
        </w:rPr>
        <w:t>日</w:t>
      </w:r>
      <w:r>
        <w:rPr>
          <w:rFonts w:hint="eastAsia" w:ascii="Times New Roman" w:hAnsi="Times New Roman"/>
          <w:sz w:val="28"/>
          <w:szCs w:val="28"/>
        </w:rPr>
        <w:t>，即现场查勘之日。</w:t>
      </w:r>
    </w:p>
    <w:p>
      <w:pPr>
        <w:keepNext w:val="0"/>
        <w:keepLines w:val="0"/>
        <w:pageBreakBefore w:val="0"/>
        <w:kinsoku/>
        <w:overflowPunct/>
        <w:topLinePunct/>
        <w:autoSpaceDE/>
        <w:autoSpaceDN/>
        <w:bidi w:val="0"/>
        <w:adjustRightInd w:val="0"/>
        <w:snapToGrid/>
        <w:spacing w:line="540" w:lineRule="exact"/>
        <w:ind w:firstLine="562" w:firstLineChars="200"/>
        <w:outlineLvl w:val="1"/>
        <w:rPr>
          <w:rFonts w:hint="eastAsia" w:ascii="Times New Roman" w:hAnsi="Times New Roman"/>
          <w:b/>
          <w:bCs/>
          <w:sz w:val="28"/>
          <w:szCs w:val="28"/>
        </w:rPr>
      </w:pPr>
      <w:bookmarkStart w:id="12" w:name="_Toc343180976"/>
      <w:bookmarkStart w:id="13" w:name="_Toc416160338"/>
      <w:bookmarkStart w:id="14" w:name="_Toc5767"/>
      <w:bookmarkStart w:id="15" w:name="_Toc8967"/>
      <w:r>
        <w:rPr>
          <w:rFonts w:hint="eastAsia" w:ascii="Times New Roman" w:hAnsi="Times New Roman"/>
          <w:b/>
          <w:bCs/>
          <w:sz w:val="28"/>
          <w:szCs w:val="28"/>
        </w:rPr>
        <w:t>六、价值</w:t>
      </w:r>
      <w:bookmarkEnd w:id="12"/>
      <w:r>
        <w:rPr>
          <w:rFonts w:hint="eastAsia" w:ascii="Times New Roman" w:hAnsi="Times New Roman"/>
          <w:b/>
          <w:bCs/>
          <w:sz w:val="28"/>
          <w:szCs w:val="28"/>
        </w:rPr>
        <w:t>类型</w:t>
      </w:r>
      <w:bookmarkEnd w:id="13"/>
      <w:bookmarkEnd w:id="14"/>
      <w:bookmarkEnd w:id="15"/>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本估价报告采用的价值类型为市场价值。</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本次评估采用公开市场价值标准，估价结果为估价对象的市场价值。市场价值是指理性而谨慎的交易双方，出于利己动机，有较充裕的时间，在了解交易对象、知晓市场行情下自愿进行交易最可能的价格。</w:t>
      </w:r>
    </w:p>
    <w:p>
      <w:pPr>
        <w:pStyle w:val="3"/>
        <w:keepNext w:val="0"/>
        <w:keepLines w:val="0"/>
        <w:pageBreakBefore w:val="0"/>
        <w:kinsoku/>
        <w:overflowPunct/>
        <w:topLinePunct/>
        <w:autoSpaceDE/>
        <w:autoSpaceDN/>
        <w:bidi w:val="0"/>
        <w:adjustRightInd w:val="0"/>
        <w:snapToGrid/>
        <w:spacing w:before="0" w:after="0" w:line="540" w:lineRule="exact"/>
        <w:ind w:firstLine="560" w:firstLineChars="200"/>
        <w:rPr>
          <w:rFonts w:ascii="Times New Roman" w:hAnsi="Times New Roman"/>
          <w:spacing w:val="2"/>
          <w:sz w:val="28"/>
          <w:szCs w:val="28"/>
        </w:rPr>
      </w:pPr>
      <w:r>
        <w:rPr>
          <w:rFonts w:hint="eastAsia" w:ascii="Times New Roman" w:hAnsi="Times New Roman" w:eastAsia="宋体"/>
          <w:b w:val="0"/>
          <w:sz w:val="28"/>
          <w:szCs w:val="28"/>
        </w:rPr>
        <w:t>本次估价结果包含房屋所有权价格及合理分摊的土地使用权价格。</w:t>
      </w:r>
    </w:p>
    <w:p>
      <w:pPr>
        <w:pStyle w:val="3"/>
        <w:keepNext w:val="0"/>
        <w:keepLines w:val="0"/>
        <w:pageBreakBefore w:val="0"/>
        <w:numPr>
          <w:ilvl w:val="0"/>
          <w:numId w:val="1"/>
        </w:numPr>
        <w:kinsoku/>
        <w:overflowPunct/>
        <w:topLinePunct/>
        <w:autoSpaceDE/>
        <w:autoSpaceDN/>
        <w:bidi w:val="0"/>
        <w:adjustRightInd w:val="0"/>
        <w:snapToGrid/>
        <w:spacing w:before="0" w:after="0" w:line="540" w:lineRule="exact"/>
        <w:ind w:firstLine="562" w:firstLineChars="200"/>
        <w:rPr>
          <w:rFonts w:hint="eastAsia" w:ascii="Times New Roman" w:hAnsi="Times New Roman" w:eastAsia="宋体" w:cs="宋体"/>
          <w:bCs w:val="0"/>
          <w:sz w:val="28"/>
          <w:szCs w:val="28"/>
        </w:rPr>
      </w:pPr>
      <w:bookmarkStart w:id="16" w:name="_Toc275961676"/>
      <w:r>
        <w:rPr>
          <w:rFonts w:hint="eastAsia" w:ascii="Times New Roman" w:hAnsi="Times New Roman" w:eastAsia="宋体" w:cs="宋体"/>
          <w:bCs w:val="0"/>
          <w:sz w:val="28"/>
          <w:szCs w:val="28"/>
        </w:rPr>
        <w:t>估价</w:t>
      </w:r>
      <w:bookmarkEnd w:id="16"/>
      <w:r>
        <w:rPr>
          <w:rFonts w:hint="eastAsia" w:ascii="Times New Roman" w:hAnsi="Times New Roman" w:eastAsia="宋体" w:cs="宋体"/>
          <w:bCs w:val="0"/>
          <w:sz w:val="28"/>
          <w:szCs w:val="28"/>
        </w:rPr>
        <w:t>原则</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本估价报告按照估价规范的规定，遵循房地产估价行业公认的估价原则，根据估价对象的用途、现状条件，结合估价目的对估价对象进行估价。具体依据如下原则：</w:t>
      </w:r>
    </w:p>
    <w:p>
      <w:pPr>
        <w:keepNext w:val="0"/>
        <w:keepLines w:val="0"/>
        <w:pageBreakBefore w:val="0"/>
        <w:numPr>
          <w:ilvl w:val="0"/>
          <w:numId w:val="3"/>
        </w:numPr>
        <w:kinsoku/>
        <w:overflowPunct/>
        <w:topLinePunct/>
        <w:autoSpaceDE/>
        <w:autoSpaceDN/>
        <w:bidi w:val="0"/>
        <w:adjustRightInd w:val="0"/>
        <w:snapToGrid/>
        <w:spacing w:line="54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独立、客观、公正原则：要求房地产估价师站在中立的立场上，实事求是、公平正直地评估出对各方估价利害关系人均是公平合理的价值或价格的原则。</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2、合法原则：要求估价结果是在依法判定的估价对象状况下的价值或价格的原则。</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3、价值时点原则：要求估价结果是在根据估价目的确定的某一特定时间的价值或价格的原则。</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4、替代原则：要求估价结果与估价对象的类似是房地产在同等条件下的价值或价格偏差在合理范围内的原则。</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5、最高最佳利用原则：要求估价结果是在估价对象最高最佳利用状况下的价值或价格的原则。</w:t>
      </w:r>
    </w:p>
    <w:p>
      <w:pPr>
        <w:keepNext w:val="0"/>
        <w:keepLines w:val="0"/>
        <w:pageBreakBefore w:val="0"/>
        <w:kinsoku/>
        <w:overflowPunct/>
        <w:topLinePunct/>
        <w:autoSpaceDE/>
        <w:autoSpaceDN/>
        <w:bidi w:val="0"/>
        <w:adjustRightInd w:val="0"/>
        <w:snapToGrid/>
        <w:spacing w:line="540" w:lineRule="exact"/>
        <w:ind w:firstLine="562" w:firstLineChars="200"/>
        <w:outlineLvl w:val="1"/>
        <w:rPr>
          <w:rFonts w:hint="eastAsia" w:ascii="Times New Roman" w:hAnsi="Times New Roman"/>
          <w:sz w:val="28"/>
          <w:szCs w:val="28"/>
        </w:rPr>
      </w:pPr>
      <w:bookmarkStart w:id="17" w:name="_Toc275961678"/>
      <w:r>
        <w:rPr>
          <w:rFonts w:hint="eastAsia" w:ascii="Times New Roman" w:hAnsi="Times New Roman"/>
          <w:b/>
          <w:bCs/>
          <w:sz w:val="28"/>
          <w:szCs w:val="28"/>
        </w:rPr>
        <w:t>八、估价依据</w:t>
      </w:r>
    </w:p>
    <w:p>
      <w:pPr>
        <w:keepNext w:val="0"/>
        <w:keepLines w:val="0"/>
        <w:pageBreakBefore w:val="0"/>
        <w:kinsoku/>
        <w:overflowPunct/>
        <w:topLinePunct/>
        <w:autoSpaceDE/>
        <w:autoSpaceDN/>
        <w:bidi w:val="0"/>
        <w:adjustRightInd w:val="0"/>
        <w:snapToGrid/>
        <w:spacing w:line="540" w:lineRule="exact"/>
        <w:ind w:firstLine="560" w:firstLineChars="200"/>
        <w:outlineLvl w:val="1"/>
        <w:rPr>
          <w:rFonts w:hint="eastAsia" w:ascii="Times New Roman" w:hAnsi="Times New Roman"/>
          <w:sz w:val="28"/>
          <w:szCs w:val="28"/>
        </w:rPr>
      </w:pPr>
      <w:r>
        <w:rPr>
          <w:rFonts w:hint="eastAsia" w:ascii="Times New Roman" w:hAnsi="Times New Roman"/>
          <w:sz w:val="28"/>
          <w:szCs w:val="28"/>
        </w:rPr>
        <w:t>1.国家法律、法规</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(1)《中华人民共和国物权法》（2007年主席令第62号公布，自2007年10月1日起施行）；</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(2)《中华人民共和国城市房地产管理法》（中华人民共和国主席令第十八号）[中华人民共和国第十一届全国人民代表大会常务委员会第十次会议于2009年8月27日通过，自公布之日起施行。]</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eastAsia="宋体"/>
          <w:sz w:val="28"/>
          <w:szCs w:val="28"/>
          <w:lang w:eastAsia="zh-CN"/>
        </w:rPr>
      </w:pPr>
      <w:r>
        <w:rPr>
          <w:rFonts w:hint="eastAsia" w:ascii="Times New Roman" w:hAnsi="Times New Roman"/>
          <w:sz w:val="28"/>
          <w:szCs w:val="28"/>
          <w:lang w:val="en-US" w:eastAsia="zh-CN"/>
        </w:rPr>
        <w:t>(3)</w:t>
      </w:r>
      <w:r>
        <w:rPr>
          <w:rFonts w:hint="eastAsia" w:ascii="Times New Roman" w:hAnsi="Times New Roman"/>
          <w:sz w:val="28"/>
          <w:szCs w:val="28"/>
        </w:rPr>
        <w:t>《中华人民共和国</w:t>
      </w:r>
      <w:r>
        <w:rPr>
          <w:rFonts w:hint="eastAsia" w:ascii="Times New Roman" w:hAnsi="Times New Roman"/>
          <w:sz w:val="28"/>
          <w:szCs w:val="28"/>
          <w:lang w:val="en-US" w:eastAsia="zh-CN"/>
        </w:rPr>
        <w:t>土地管理</w:t>
      </w:r>
      <w:r>
        <w:rPr>
          <w:rFonts w:hint="eastAsia" w:ascii="Times New Roman" w:hAnsi="Times New Roman"/>
          <w:sz w:val="28"/>
          <w:szCs w:val="28"/>
        </w:rPr>
        <w:t>法》（</w:t>
      </w:r>
      <w:r>
        <w:rPr>
          <w:rFonts w:hint="eastAsia" w:ascii="Times New Roman" w:hAnsi="Times New Roman"/>
          <w:sz w:val="28"/>
          <w:szCs w:val="28"/>
          <w:lang w:val="en-US" w:eastAsia="zh-CN"/>
        </w:rPr>
        <w:t>2004</w:t>
      </w:r>
      <w:r>
        <w:rPr>
          <w:rFonts w:hint="eastAsia" w:ascii="Times New Roman" w:hAnsi="Times New Roman"/>
          <w:sz w:val="28"/>
          <w:szCs w:val="28"/>
        </w:rPr>
        <w:t>年主席令第</w:t>
      </w:r>
      <w:r>
        <w:rPr>
          <w:rFonts w:hint="eastAsia" w:ascii="Times New Roman" w:hAnsi="Times New Roman"/>
          <w:sz w:val="28"/>
          <w:szCs w:val="28"/>
          <w:lang w:val="en-US" w:eastAsia="zh-CN"/>
        </w:rPr>
        <w:t>208</w:t>
      </w:r>
      <w:r>
        <w:rPr>
          <w:rFonts w:hint="eastAsia" w:ascii="Times New Roman" w:hAnsi="Times New Roman"/>
          <w:sz w:val="28"/>
          <w:szCs w:val="28"/>
        </w:rPr>
        <w:t>号</w:t>
      </w:r>
      <w:r>
        <w:rPr>
          <w:rFonts w:hint="eastAsia" w:ascii="Times New Roman" w:hAnsi="Times New Roman"/>
          <w:sz w:val="28"/>
          <w:szCs w:val="28"/>
          <w:lang w:val="en-US" w:eastAsia="zh-CN"/>
        </w:rPr>
        <w:t>自</w:t>
      </w:r>
      <w:r>
        <w:rPr>
          <w:rFonts w:hint="eastAsia" w:ascii="Times New Roman" w:hAnsi="Times New Roman"/>
          <w:sz w:val="28"/>
          <w:szCs w:val="28"/>
        </w:rPr>
        <w:t>公布</w:t>
      </w:r>
      <w:r>
        <w:rPr>
          <w:rFonts w:hint="eastAsia" w:ascii="Times New Roman" w:hAnsi="Times New Roman"/>
          <w:sz w:val="28"/>
          <w:szCs w:val="28"/>
          <w:lang w:val="en-US" w:eastAsia="zh-CN"/>
        </w:rPr>
        <w:t>之日2004年4月8日</w:t>
      </w:r>
      <w:r>
        <w:rPr>
          <w:rFonts w:hint="eastAsia" w:ascii="Times New Roman" w:hAnsi="Times New Roman"/>
          <w:sz w:val="28"/>
          <w:szCs w:val="28"/>
        </w:rPr>
        <w:t>起施行）；</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4</w:t>
      </w:r>
      <w:r>
        <w:rPr>
          <w:rFonts w:hint="eastAsia" w:ascii="Times New Roman" w:hAnsi="Times New Roman"/>
          <w:sz w:val="28"/>
          <w:szCs w:val="28"/>
        </w:rPr>
        <w:t>)《中华人民共和国价格法》（1997年主席令第92号公布　自1998年5月1日起施行）；</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5</w:t>
      </w:r>
      <w:r>
        <w:rPr>
          <w:rFonts w:hint="eastAsia" w:ascii="Times New Roman" w:hAnsi="Times New Roman"/>
          <w:sz w:val="28"/>
          <w:szCs w:val="28"/>
        </w:rPr>
        <w:t>)《中华人民共和国民事诉讼法》（2012年主席令第59号公布，自2013年1月1日起施行）；</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6</w:t>
      </w:r>
      <w:r>
        <w:rPr>
          <w:rFonts w:hint="eastAsia" w:ascii="Times New Roman" w:hAnsi="Times New Roman"/>
          <w:sz w:val="28"/>
          <w:szCs w:val="28"/>
        </w:rPr>
        <w:t>)《中华人民共和国资产评估法》（2016年主席令第46号公布，自2016年12月1日起施行）；</w:t>
      </w:r>
    </w:p>
    <w:p>
      <w:pPr>
        <w:keepNext w:val="0"/>
        <w:keepLines w:val="0"/>
        <w:pageBreakBefore w:val="0"/>
        <w:kinsoku/>
        <w:overflowPunct/>
        <w:topLinePunct/>
        <w:autoSpaceDE/>
        <w:autoSpaceDN/>
        <w:bidi w:val="0"/>
        <w:adjustRightInd w:val="0"/>
        <w:snapToGrid/>
        <w:spacing w:line="540" w:lineRule="exact"/>
        <w:rPr>
          <w:rFonts w:hint="eastAsia"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sz w:val="28"/>
          <w:szCs w:val="28"/>
          <w:lang w:val="en-US" w:eastAsia="zh-CN"/>
        </w:rPr>
        <w:t>7</w:t>
      </w:r>
      <w:r>
        <w:rPr>
          <w:rFonts w:hint="eastAsia" w:ascii="Times New Roman" w:hAnsi="Times New Roman"/>
          <w:sz w:val="28"/>
          <w:szCs w:val="28"/>
        </w:rPr>
        <w:t>)其他法律规定、政策文件等。</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bCs/>
          <w:sz w:val="28"/>
          <w:szCs w:val="28"/>
        </w:rPr>
      </w:pPr>
      <w:r>
        <w:rPr>
          <w:rFonts w:hint="eastAsia" w:ascii="Times New Roman" w:hAnsi="Times New Roman"/>
          <w:bCs/>
          <w:sz w:val="28"/>
          <w:szCs w:val="28"/>
        </w:rPr>
        <w:t>2.</w:t>
      </w:r>
      <w:r>
        <w:rPr>
          <w:rFonts w:hint="eastAsia" w:ascii="Times New Roman" w:hAnsi="Times New Roman"/>
          <w:bCs/>
          <w:sz w:val="28"/>
          <w:szCs w:val="28"/>
          <w:lang w:val="en-US" w:eastAsia="zh-CN"/>
        </w:rPr>
        <w:t>司法解释文件</w:t>
      </w:r>
      <w:r>
        <w:rPr>
          <w:rFonts w:hint="eastAsia" w:ascii="Times New Roman" w:hAnsi="Times New Roman"/>
          <w:bCs/>
          <w:sz w:val="28"/>
          <w:szCs w:val="28"/>
        </w:rPr>
        <w:t> </w:t>
      </w:r>
    </w:p>
    <w:p>
      <w:pPr>
        <w:keepNext w:val="0"/>
        <w:keepLines w:val="0"/>
        <w:pageBreakBefore w:val="0"/>
        <w:kinsoku/>
        <w:overflowPunct/>
        <w:topLinePunct/>
        <w:autoSpaceDE/>
        <w:autoSpaceDN/>
        <w:bidi w:val="0"/>
        <w:adjustRightInd w:val="0"/>
        <w:snapToGrid/>
        <w:spacing w:line="540" w:lineRule="exact"/>
        <w:rPr>
          <w:rFonts w:hint="eastAsia" w:ascii="Times New Roman" w:hAnsi="Times New Roman"/>
          <w:sz w:val="28"/>
          <w:szCs w:val="28"/>
        </w:rPr>
      </w:pPr>
      <w:r>
        <w:rPr>
          <w:rFonts w:hint="eastAsia" w:ascii="Times New Roman" w:hAnsi="Times New Roman"/>
          <w:sz w:val="28"/>
          <w:szCs w:val="28"/>
        </w:rPr>
        <w:t xml:space="preserve">   《最高人民法院关于人民法院</w:t>
      </w:r>
      <w:r>
        <w:rPr>
          <w:rFonts w:hint="eastAsia" w:ascii="Times New Roman" w:hAnsi="Times New Roman"/>
          <w:sz w:val="28"/>
          <w:szCs w:val="28"/>
          <w:lang w:val="en-US" w:eastAsia="zh-CN"/>
        </w:rPr>
        <w:t>确定财产处置参考价</w:t>
      </w:r>
      <w:r>
        <w:rPr>
          <w:rFonts w:hint="eastAsia" w:ascii="Times New Roman" w:hAnsi="Times New Roman"/>
          <w:sz w:val="28"/>
          <w:szCs w:val="28"/>
        </w:rPr>
        <w:t>若干</w:t>
      </w:r>
      <w:r>
        <w:rPr>
          <w:rFonts w:hint="eastAsia" w:ascii="Times New Roman" w:hAnsi="Times New Roman"/>
          <w:sz w:val="28"/>
          <w:szCs w:val="28"/>
          <w:lang w:val="en-US" w:eastAsia="zh-CN"/>
        </w:rPr>
        <w:t>问题</w:t>
      </w:r>
      <w:r>
        <w:rPr>
          <w:rFonts w:hint="eastAsia" w:ascii="Times New Roman" w:hAnsi="Times New Roman"/>
          <w:sz w:val="28"/>
          <w:szCs w:val="28"/>
        </w:rPr>
        <w:t>规定》（法释〔201</w:t>
      </w:r>
      <w:r>
        <w:rPr>
          <w:rFonts w:hint="eastAsia" w:ascii="Times New Roman" w:hAnsi="Times New Roman"/>
          <w:sz w:val="28"/>
          <w:szCs w:val="28"/>
          <w:lang w:val="en-US" w:eastAsia="zh-CN"/>
        </w:rPr>
        <w:t>8</w:t>
      </w:r>
      <w:r>
        <w:rPr>
          <w:rFonts w:hint="eastAsia" w:ascii="Times New Roman" w:hAnsi="Times New Roman"/>
          <w:sz w:val="28"/>
          <w:szCs w:val="28"/>
        </w:rPr>
        <w:t>〕</w:t>
      </w:r>
      <w:r>
        <w:rPr>
          <w:rFonts w:hint="eastAsia" w:ascii="Times New Roman" w:hAnsi="Times New Roman"/>
          <w:sz w:val="28"/>
          <w:szCs w:val="28"/>
          <w:lang w:val="en-US" w:eastAsia="zh-CN"/>
        </w:rPr>
        <w:t>15</w:t>
      </w:r>
      <w:r>
        <w:rPr>
          <w:rFonts w:hint="eastAsia" w:ascii="Times New Roman" w:hAnsi="Times New Roman"/>
          <w:sz w:val="28"/>
          <w:szCs w:val="28"/>
        </w:rPr>
        <w:t>号）。</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3.技术标准</w:t>
      </w:r>
    </w:p>
    <w:p>
      <w:pPr>
        <w:pStyle w:val="5"/>
        <w:keepNext w:val="0"/>
        <w:keepLines w:val="0"/>
        <w:pageBreakBefore w:val="0"/>
        <w:kinsoku/>
        <w:overflowPunct/>
        <w:topLinePunct/>
        <w:autoSpaceDE/>
        <w:autoSpaceDN/>
        <w:bidi w:val="0"/>
        <w:adjustRightInd w:val="0"/>
        <w:snapToGrid/>
        <w:spacing w:line="540" w:lineRule="exact"/>
        <w:ind w:firstLine="560" w:firstLineChars="200"/>
        <w:textAlignment w:val="center"/>
        <w:rPr>
          <w:rFonts w:hint="eastAsia" w:ascii="Times New Roman" w:hAnsi="Times New Roman"/>
          <w:sz w:val="28"/>
          <w:szCs w:val="28"/>
        </w:rPr>
      </w:pPr>
      <w:r>
        <w:rPr>
          <w:rFonts w:hint="eastAsia" w:ascii="Times New Roman" w:hAnsi="Times New Roman"/>
          <w:sz w:val="28"/>
          <w:szCs w:val="28"/>
        </w:rPr>
        <w:t>(1)《房地产估价规范》（GB/T50291-2015）[2015年12月1日起实施]；</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(2)《房地产估价基本术语标准》（GB/T50899-2013）[2013年6月26日发布，2014年2月1日起实施]。</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4.产权依据</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lang w:val="en-US" w:eastAsia="zh-CN"/>
        </w:rPr>
        <w:t>委托人、鉴定申请人</w:t>
      </w:r>
      <w:r>
        <w:rPr>
          <w:rFonts w:hint="eastAsia" w:ascii="Times New Roman" w:hAnsi="Times New Roman"/>
          <w:sz w:val="28"/>
          <w:szCs w:val="28"/>
        </w:rPr>
        <w:t>提供的</w:t>
      </w:r>
      <w:r>
        <w:rPr>
          <w:rFonts w:hint="eastAsia"/>
          <w:sz w:val="28"/>
          <w:szCs w:val="28"/>
          <w:lang w:val="en-US" w:eastAsia="zh-CN"/>
        </w:rPr>
        <w:t>不动产产权情况表</w:t>
      </w:r>
      <w:r>
        <w:rPr>
          <w:rFonts w:hint="eastAsia" w:ascii="Times New Roman" w:hAnsi="Times New Roman"/>
          <w:sz w:val="28"/>
          <w:szCs w:val="28"/>
          <w:lang w:val="en-US" w:eastAsia="zh-CN"/>
        </w:rPr>
        <w:t>复印件</w:t>
      </w:r>
      <w:r>
        <w:rPr>
          <w:rFonts w:hint="eastAsia" w:ascii="Times New Roman" w:hAnsi="Times New Roman"/>
          <w:sz w:val="28"/>
          <w:szCs w:val="28"/>
        </w:rPr>
        <w:t>。</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5.估价委托人提供的委托书</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《司法技术鉴定委托书》[</w:t>
      </w:r>
      <w:r>
        <w:rPr>
          <w:rFonts w:hint="eastAsia" w:ascii="Times New Roman" w:hAnsi="Times New Roman"/>
          <w:sz w:val="28"/>
          <w:szCs w:val="28"/>
          <w:lang w:eastAsia="zh-CN"/>
        </w:rPr>
        <w:t>辽中法（201</w:t>
      </w:r>
      <w:r>
        <w:rPr>
          <w:rFonts w:hint="eastAsia" w:ascii="Times New Roman" w:hAnsi="Times New Roman"/>
          <w:sz w:val="28"/>
          <w:szCs w:val="28"/>
          <w:lang w:val="en-US" w:eastAsia="zh-CN"/>
        </w:rPr>
        <w:t>9</w:t>
      </w:r>
      <w:r>
        <w:rPr>
          <w:rFonts w:hint="eastAsia" w:ascii="Times New Roman" w:hAnsi="Times New Roman"/>
          <w:sz w:val="28"/>
          <w:szCs w:val="28"/>
          <w:lang w:eastAsia="zh-CN"/>
        </w:rPr>
        <w:t>）外委字第</w:t>
      </w:r>
      <w:r>
        <w:rPr>
          <w:rFonts w:hint="eastAsia" w:ascii="Times New Roman" w:hAnsi="Times New Roman"/>
          <w:sz w:val="28"/>
          <w:szCs w:val="28"/>
          <w:lang w:val="en-US" w:eastAsia="zh-CN"/>
        </w:rPr>
        <w:t>1414</w:t>
      </w:r>
      <w:r>
        <w:rPr>
          <w:rFonts w:hint="eastAsia" w:ascii="Times New Roman" w:hAnsi="Times New Roman"/>
          <w:sz w:val="28"/>
          <w:szCs w:val="28"/>
          <w:lang w:eastAsia="zh-CN"/>
        </w:rPr>
        <w:t>号</w:t>
      </w:r>
      <w:r>
        <w:rPr>
          <w:rFonts w:hint="eastAsia" w:ascii="Times New Roman" w:hAnsi="Times New Roman"/>
          <w:sz w:val="28"/>
          <w:szCs w:val="28"/>
        </w:rPr>
        <w:t>]。</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6.评估人员现场勘察及收集的有关资料</w:t>
      </w:r>
    </w:p>
    <w:p>
      <w:pPr>
        <w:keepNext w:val="0"/>
        <w:keepLines w:val="0"/>
        <w:pageBreakBefore w:val="0"/>
        <w:kinsoku/>
        <w:overflowPunct/>
        <w:topLinePunct/>
        <w:autoSpaceDE/>
        <w:autoSpaceDN/>
        <w:bidi w:val="0"/>
        <w:adjustRightInd w:val="0"/>
        <w:snapToGrid/>
        <w:spacing w:line="540" w:lineRule="exact"/>
        <w:ind w:firstLine="560" w:firstLineChars="200"/>
        <w:rPr>
          <w:rFonts w:hint="eastAsia" w:ascii="Times New Roman" w:hAnsi="Times New Roman"/>
          <w:sz w:val="28"/>
          <w:szCs w:val="28"/>
        </w:rPr>
      </w:pPr>
      <w:r>
        <w:rPr>
          <w:rFonts w:hint="eastAsia" w:ascii="Times New Roman" w:hAnsi="Times New Roman"/>
          <w:sz w:val="28"/>
          <w:szCs w:val="28"/>
        </w:rPr>
        <w:t>7.其他有关法律、法规及规范等</w:t>
      </w:r>
    </w:p>
    <w:p>
      <w:pPr>
        <w:keepNext w:val="0"/>
        <w:keepLines w:val="0"/>
        <w:pageBreakBefore w:val="0"/>
        <w:kinsoku/>
        <w:overflowPunct/>
        <w:topLinePunct/>
        <w:autoSpaceDE/>
        <w:autoSpaceDN/>
        <w:bidi w:val="0"/>
        <w:adjustRightInd w:val="0"/>
        <w:snapToGrid/>
        <w:spacing w:line="540" w:lineRule="exact"/>
        <w:ind w:firstLine="562" w:firstLineChars="200"/>
        <w:outlineLvl w:val="1"/>
        <w:rPr>
          <w:rFonts w:hint="eastAsia" w:ascii="Times New Roman" w:hAnsi="Times New Roman"/>
          <w:b/>
          <w:bCs/>
          <w:sz w:val="28"/>
          <w:szCs w:val="28"/>
        </w:rPr>
      </w:pPr>
      <w:r>
        <w:rPr>
          <w:rFonts w:hint="eastAsia" w:ascii="Times New Roman" w:hAnsi="Times New Roman"/>
          <w:b/>
          <w:sz w:val="28"/>
          <w:szCs w:val="28"/>
        </w:rPr>
        <w:t>九、估价方法</w:t>
      </w:r>
      <w:bookmarkEnd w:id="17"/>
    </w:p>
    <w:p>
      <w:pPr>
        <w:keepNext w:val="0"/>
        <w:keepLines w:val="0"/>
        <w:pageBreakBefore w:val="0"/>
        <w:kinsoku/>
        <w:overflowPunct/>
        <w:autoSpaceDE/>
        <w:autoSpaceDN/>
        <w:bidi w:val="0"/>
        <w:adjustRightInd w:val="0"/>
        <w:snapToGrid/>
        <w:spacing w:line="540" w:lineRule="exact"/>
        <w:ind w:firstLine="560" w:firstLineChars="200"/>
        <w:rPr>
          <w:rFonts w:ascii="Times New Roman" w:hAnsi="Times New Roman"/>
          <w:sz w:val="28"/>
          <w:szCs w:val="28"/>
        </w:rPr>
      </w:pPr>
      <w:bookmarkStart w:id="18" w:name="_Toc275961679"/>
      <w:r>
        <w:rPr>
          <w:rFonts w:hint="eastAsia" w:ascii="Times New Roman" w:hAnsi="Times New Roman"/>
          <w:sz w:val="28"/>
          <w:szCs w:val="28"/>
        </w:rPr>
        <w:t>本报告采用比较法对估价对象进行评估。</w:t>
      </w:r>
    </w:p>
    <w:p>
      <w:pPr>
        <w:keepNext w:val="0"/>
        <w:keepLines w:val="0"/>
        <w:pageBreakBefore w:val="0"/>
        <w:kinsoku/>
        <w:overflowPunct/>
        <w:autoSpaceDE/>
        <w:autoSpaceDN/>
        <w:bidi w:val="0"/>
        <w:adjustRightInd w:val="0"/>
        <w:snapToGrid/>
        <w:spacing w:line="540" w:lineRule="exact"/>
        <w:ind w:firstLine="560" w:firstLineChars="200"/>
        <w:rPr>
          <w:rFonts w:ascii="Times New Roman" w:hAnsi="Times New Roman"/>
          <w:sz w:val="28"/>
          <w:szCs w:val="28"/>
        </w:rPr>
      </w:pPr>
      <w:r>
        <w:rPr>
          <w:rFonts w:hint="eastAsia" w:ascii="Times New Roman" w:hAnsi="Times New Roman"/>
          <w:sz w:val="28"/>
          <w:szCs w:val="28"/>
        </w:rPr>
        <w:t>比较法是选取一定数量的可比实例，将它们与估价对象进行比较，根据其间的差异对可比实例成交价格进行处理后得到估价对象价值或价格的方法。</w:t>
      </w:r>
    </w:p>
    <w:p>
      <w:pPr>
        <w:pStyle w:val="10"/>
        <w:keepNext w:val="0"/>
        <w:keepLines w:val="0"/>
        <w:pageBreakBefore w:val="0"/>
        <w:shd w:val="clear" w:color="auto" w:fill="FFFFFF"/>
        <w:kinsoku/>
        <w:overflowPunct/>
        <w:autoSpaceDE/>
        <w:autoSpaceDN/>
        <w:bidi w:val="0"/>
        <w:adjustRightInd w:val="0"/>
        <w:snapToGrid/>
        <w:spacing w:before="0" w:beforeAutospacing="0" w:after="0" w:afterAutospacing="0" w:line="540" w:lineRule="exact"/>
        <w:rPr>
          <w:rFonts w:ascii="Times New Roman" w:hAnsi="Times New Roman"/>
          <w:color w:val="000000"/>
          <w:sz w:val="28"/>
          <w:szCs w:val="28"/>
        </w:rPr>
      </w:pPr>
      <w:r>
        <w:rPr>
          <w:rFonts w:hint="eastAsia" w:ascii="Times New Roman" w:hAnsi="Times New Roman"/>
          <w:color w:val="000000"/>
          <w:sz w:val="28"/>
          <w:szCs w:val="28"/>
        </w:rPr>
        <w:t xml:space="preserve">    计算公式：</w:t>
      </w:r>
    </w:p>
    <w:p>
      <w:pPr>
        <w:pStyle w:val="10"/>
        <w:keepNext w:val="0"/>
        <w:keepLines w:val="0"/>
        <w:pageBreakBefore w:val="0"/>
        <w:shd w:val="clear" w:color="auto" w:fill="FFFFFF"/>
        <w:kinsoku/>
        <w:overflowPunct/>
        <w:autoSpaceDE/>
        <w:autoSpaceDN/>
        <w:bidi w:val="0"/>
        <w:adjustRightInd w:val="0"/>
        <w:snapToGrid/>
        <w:spacing w:before="0" w:beforeAutospacing="0" w:after="0" w:afterAutospacing="0" w:line="54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选取百分比修正、调整下的乘法公式：</w:t>
      </w:r>
    </w:p>
    <w:p>
      <w:pPr>
        <w:pStyle w:val="10"/>
        <w:keepNext w:val="0"/>
        <w:keepLines w:val="0"/>
        <w:pageBreakBefore w:val="0"/>
        <w:shd w:val="clear" w:color="auto" w:fill="FFFFFF"/>
        <w:kinsoku/>
        <w:overflowPunct/>
        <w:autoSpaceDE/>
        <w:autoSpaceDN/>
        <w:bidi w:val="0"/>
        <w:adjustRightInd w:val="0"/>
        <w:snapToGrid/>
        <w:spacing w:before="0" w:beforeAutospacing="0" w:after="0" w:afterAutospacing="0" w:line="54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比较价值=可比实例成交价格×交易情况修正系数×市场状况调整系数×房地产状况调整系数</w:t>
      </w:r>
    </w:p>
    <w:p>
      <w:pPr>
        <w:pStyle w:val="10"/>
        <w:keepNext w:val="0"/>
        <w:keepLines w:val="0"/>
        <w:pageBreakBefore w:val="0"/>
        <w:shd w:val="clear" w:color="auto" w:fill="FFFFFF"/>
        <w:kinsoku/>
        <w:overflowPunct/>
        <w:autoSpaceDE/>
        <w:autoSpaceDN/>
        <w:bidi w:val="0"/>
        <w:adjustRightInd w:val="0"/>
        <w:snapToGrid/>
        <w:spacing w:before="0" w:beforeAutospacing="0" w:after="0" w:afterAutospacing="0" w:line="54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选取直接比较法修正和调整公式：</w:t>
      </w:r>
    </w:p>
    <w:p>
      <w:pPr>
        <w:pStyle w:val="10"/>
        <w:keepNext w:val="0"/>
        <w:keepLines w:val="0"/>
        <w:pageBreakBefore w:val="0"/>
        <w:shd w:val="clear" w:color="auto" w:fill="FFFFFF"/>
        <w:kinsoku/>
        <w:overflowPunct/>
        <w:autoSpaceDE/>
        <w:autoSpaceDN/>
        <w:bidi w:val="0"/>
        <w:adjustRightInd w:val="0"/>
        <w:snapToGrid/>
        <w:spacing w:before="0" w:beforeAutospacing="0" w:after="0" w:afterAutospacing="0" w:line="54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比较价值=可比实例成交价格×100/（）×（）/100×100/（）</w:t>
      </w:r>
    </w:p>
    <w:p>
      <w:pPr>
        <w:keepNext w:val="0"/>
        <w:keepLines w:val="0"/>
        <w:pageBreakBefore w:val="0"/>
        <w:kinsoku/>
        <w:overflowPunct/>
        <w:topLinePunct/>
        <w:autoSpaceDE/>
        <w:autoSpaceDN/>
        <w:bidi w:val="0"/>
        <w:adjustRightInd w:val="0"/>
        <w:snapToGrid/>
        <w:spacing w:line="540" w:lineRule="exact"/>
        <w:ind w:firstLine="562" w:firstLineChars="200"/>
        <w:outlineLvl w:val="1"/>
        <w:rPr>
          <w:rFonts w:hint="eastAsia" w:ascii="Times New Roman" w:hAnsi="Times New Roman"/>
          <w:b/>
          <w:bCs/>
          <w:sz w:val="28"/>
          <w:szCs w:val="28"/>
        </w:rPr>
      </w:pPr>
      <w:r>
        <w:rPr>
          <w:rFonts w:hint="eastAsia" w:ascii="Times New Roman" w:hAnsi="Times New Roman"/>
          <w:b/>
          <w:sz w:val="28"/>
          <w:szCs w:val="28"/>
        </w:rPr>
        <w:t>十、估价结果</w:t>
      </w:r>
      <w:bookmarkEnd w:id="18"/>
    </w:p>
    <w:p>
      <w:pPr>
        <w:topLinePunct/>
        <w:spacing w:line="480" w:lineRule="exact"/>
        <w:ind w:firstLine="560" w:firstLineChars="200"/>
        <w:rPr>
          <w:rFonts w:hint="eastAsia"/>
          <w:sz w:val="28"/>
          <w:szCs w:val="28"/>
        </w:rPr>
      </w:pPr>
      <w:bookmarkStart w:id="19" w:name="_Toc275961680"/>
      <w:r>
        <w:rPr>
          <w:rFonts w:hint="eastAsia"/>
          <w:sz w:val="28"/>
          <w:szCs w:val="28"/>
        </w:rPr>
        <w:t>估价人员根据估价目的，按照估价程序，遵循估价原则，采用适宜的估价方法，在考虑房地产价格因素的基础上，经测算</w:t>
      </w:r>
      <w:r>
        <w:rPr>
          <w:rFonts w:hint="eastAsia"/>
          <w:sz w:val="28"/>
          <w:szCs w:val="28"/>
          <w:lang w:val="en-US" w:eastAsia="zh-CN"/>
        </w:rPr>
        <w:t>位于</w:t>
      </w:r>
      <w:r>
        <w:rPr>
          <w:rFonts w:hint="eastAsia"/>
          <w:spacing w:val="2"/>
          <w:sz w:val="28"/>
          <w:szCs w:val="28"/>
          <w:lang w:eastAsia="zh-CN"/>
        </w:rPr>
        <w:t>辽阳市</w:t>
      </w:r>
      <w:r>
        <w:rPr>
          <w:rFonts w:hint="eastAsia"/>
          <w:spacing w:val="2"/>
          <w:sz w:val="28"/>
          <w:szCs w:val="28"/>
          <w:lang w:val="en-US" w:eastAsia="zh-CN"/>
        </w:rPr>
        <w:t>文圣区太子河路“恒大绿洲”21-19号楼1单元25层50号187.15㎡住宅</w:t>
      </w:r>
      <w:r>
        <w:rPr>
          <w:rFonts w:hint="eastAsia"/>
          <w:sz w:val="28"/>
          <w:szCs w:val="28"/>
          <w:lang w:eastAsia="zh-CN"/>
        </w:rPr>
        <w:t>，</w:t>
      </w:r>
      <w:r>
        <w:rPr>
          <w:rFonts w:hint="eastAsia"/>
          <w:sz w:val="28"/>
          <w:szCs w:val="28"/>
        </w:rPr>
        <w:t>在价值时点</w:t>
      </w:r>
      <w:r>
        <w:rPr>
          <w:rFonts w:hint="eastAsia"/>
          <w:sz w:val="28"/>
          <w:szCs w:val="28"/>
          <w:lang w:eastAsia="zh-CN"/>
        </w:rPr>
        <w:t>201</w:t>
      </w:r>
      <w:r>
        <w:rPr>
          <w:rFonts w:hint="eastAsia"/>
          <w:sz w:val="28"/>
          <w:szCs w:val="28"/>
          <w:lang w:val="en-US" w:eastAsia="zh-CN"/>
        </w:rPr>
        <w:t>9</w:t>
      </w:r>
      <w:r>
        <w:rPr>
          <w:rFonts w:hint="eastAsia"/>
          <w:sz w:val="28"/>
          <w:szCs w:val="28"/>
          <w:lang w:eastAsia="zh-CN"/>
        </w:rPr>
        <w:t>年</w:t>
      </w:r>
      <w:r>
        <w:rPr>
          <w:rFonts w:hint="eastAsia"/>
          <w:sz w:val="28"/>
          <w:szCs w:val="28"/>
          <w:lang w:val="en-US" w:eastAsia="zh-CN"/>
        </w:rPr>
        <w:t>09</w:t>
      </w:r>
      <w:r>
        <w:rPr>
          <w:rFonts w:hint="eastAsia"/>
          <w:sz w:val="28"/>
          <w:szCs w:val="28"/>
          <w:lang w:eastAsia="zh-CN"/>
        </w:rPr>
        <w:t>月</w:t>
      </w:r>
      <w:r>
        <w:rPr>
          <w:rFonts w:hint="eastAsia"/>
          <w:sz w:val="28"/>
          <w:szCs w:val="28"/>
          <w:lang w:val="en-US" w:eastAsia="zh-CN"/>
        </w:rPr>
        <w:t>23</w:t>
      </w:r>
      <w:r>
        <w:rPr>
          <w:rFonts w:hint="eastAsia"/>
          <w:sz w:val="28"/>
          <w:szCs w:val="28"/>
          <w:lang w:eastAsia="zh-CN"/>
        </w:rPr>
        <w:t>日</w:t>
      </w:r>
      <w:r>
        <w:rPr>
          <w:rFonts w:hint="eastAsia"/>
          <w:sz w:val="28"/>
          <w:szCs w:val="28"/>
        </w:rPr>
        <w:t>的估价结果为：</w:t>
      </w:r>
    </w:p>
    <w:p>
      <w:pPr>
        <w:wordWrap w:val="0"/>
        <w:topLinePunct/>
        <w:spacing w:line="520" w:lineRule="exact"/>
        <w:ind w:firstLine="568" w:firstLineChars="200"/>
        <w:rPr>
          <w:rFonts w:hint="eastAsia"/>
          <w:sz w:val="28"/>
          <w:szCs w:val="28"/>
        </w:rPr>
      </w:pPr>
      <w:r>
        <w:rPr>
          <w:rFonts w:hint="eastAsia" w:ascii="宋体" w:hAnsi="宋体"/>
          <w:bCs/>
          <w:spacing w:val="2"/>
          <w:sz w:val="28"/>
          <w:szCs w:val="28"/>
        </w:rPr>
        <w:t>满足各项假设限制条件下的市场价值为</w:t>
      </w:r>
      <w:r>
        <w:rPr>
          <w:rFonts w:hint="eastAsia"/>
          <w:sz w:val="28"/>
          <w:szCs w:val="28"/>
        </w:rPr>
        <w:t>（大写）</w:t>
      </w:r>
      <w:r>
        <w:rPr>
          <w:rFonts w:hint="eastAsia"/>
          <w:sz w:val="28"/>
          <w:szCs w:val="28"/>
          <w:lang w:val="en-US" w:eastAsia="zh-CN"/>
        </w:rPr>
        <w:t>玖拾伍万肆仟肆佰陆拾伍</w:t>
      </w:r>
      <w:r>
        <w:rPr>
          <w:rFonts w:hint="eastAsia"/>
          <w:sz w:val="28"/>
          <w:szCs w:val="28"/>
        </w:rPr>
        <w:t>元整（</w:t>
      </w:r>
      <w:r>
        <w:rPr>
          <w:rFonts w:hint="eastAsia"/>
          <w:sz w:val="28"/>
          <w:szCs w:val="28"/>
          <w:lang w:val="en-US" w:eastAsia="zh-CN"/>
        </w:rPr>
        <w:t>954,465.00</w:t>
      </w:r>
      <w:r>
        <w:rPr>
          <w:rFonts w:hint="eastAsia"/>
          <w:sz w:val="28"/>
          <w:szCs w:val="28"/>
        </w:rPr>
        <w:t>元），评估单价为</w:t>
      </w:r>
      <w:r>
        <w:rPr>
          <w:rFonts w:hint="eastAsia"/>
          <w:sz w:val="28"/>
          <w:szCs w:val="28"/>
          <w:lang w:val="en-US" w:eastAsia="zh-CN"/>
        </w:rPr>
        <w:t>5</w:t>
      </w:r>
      <w:r>
        <w:rPr>
          <w:rFonts w:hint="eastAsia"/>
          <w:sz w:val="28"/>
          <w:szCs w:val="28"/>
        </w:rPr>
        <w:t>,</w:t>
      </w:r>
      <w:r>
        <w:rPr>
          <w:rFonts w:hint="eastAsia"/>
          <w:sz w:val="28"/>
          <w:szCs w:val="28"/>
          <w:lang w:val="en-US" w:eastAsia="zh-CN"/>
        </w:rPr>
        <w:t>100</w:t>
      </w:r>
      <w:r>
        <w:rPr>
          <w:rFonts w:hint="eastAsia"/>
          <w:sz w:val="28"/>
          <w:szCs w:val="28"/>
        </w:rPr>
        <w:t>.00元/平方米。</w:t>
      </w:r>
    </w:p>
    <w:tbl>
      <w:tblPr>
        <w:tblStyle w:val="11"/>
        <w:tblW w:w="0" w:type="auto"/>
        <w:tblInd w:w="91" w:type="dxa"/>
        <w:tblLayout w:type="fixed"/>
        <w:tblCellMar>
          <w:top w:w="0" w:type="dxa"/>
          <w:left w:w="108" w:type="dxa"/>
          <w:bottom w:w="0" w:type="dxa"/>
          <w:right w:w="108" w:type="dxa"/>
        </w:tblCellMar>
      </w:tblPr>
      <w:tblGrid>
        <w:gridCol w:w="724"/>
        <w:gridCol w:w="1559"/>
        <w:gridCol w:w="1560"/>
        <w:gridCol w:w="1842"/>
        <w:gridCol w:w="1853"/>
        <w:gridCol w:w="1276"/>
      </w:tblGrid>
      <w:tr>
        <w:tblPrEx>
          <w:tblCellMar>
            <w:top w:w="0" w:type="dxa"/>
            <w:left w:w="108" w:type="dxa"/>
            <w:bottom w:w="0" w:type="dxa"/>
            <w:right w:w="108" w:type="dxa"/>
          </w:tblCellMar>
        </w:tblPrEx>
        <w:trPr>
          <w:trHeight w:val="850" w:hRule="exact"/>
        </w:trPr>
        <w:tc>
          <w:tcPr>
            <w:tcW w:w="8814" w:type="dxa"/>
            <w:gridSpan w:val="6"/>
            <w:tcBorders>
              <w:top w:val="nil"/>
              <w:left w:val="nil"/>
              <w:bottom w:val="nil"/>
              <w:right w:val="nil"/>
            </w:tcBorders>
            <w:noWrap w:val="0"/>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估价结果明细表</w:t>
            </w:r>
          </w:p>
        </w:tc>
      </w:tr>
      <w:tr>
        <w:tblPrEx>
          <w:tblCellMar>
            <w:top w:w="0" w:type="dxa"/>
            <w:left w:w="108" w:type="dxa"/>
            <w:bottom w:w="0" w:type="dxa"/>
            <w:right w:w="108" w:type="dxa"/>
          </w:tblCellMar>
        </w:tblPrEx>
        <w:trPr>
          <w:trHeight w:val="850" w:hRule="exact"/>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名称</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产权证号</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建筑面积（㎡）</w:t>
            </w:r>
          </w:p>
        </w:tc>
        <w:tc>
          <w:tcPr>
            <w:tcW w:w="184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评估单价（元/㎡）</w:t>
            </w:r>
          </w:p>
        </w:tc>
        <w:tc>
          <w:tcPr>
            <w:tcW w:w="185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评估总价（元）</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备注</w:t>
            </w:r>
          </w:p>
        </w:tc>
      </w:tr>
      <w:tr>
        <w:tblPrEx>
          <w:tblCellMar>
            <w:top w:w="0" w:type="dxa"/>
            <w:left w:w="108" w:type="dxa"/>
            <w:bottom w:w="0" w:type="dxa"/>
            <w:right w:w="108" w:type="dxa"/>
          </w:tblCellMar>
        </w:tblPrEx>
        <w:trPr>
          <w:trHeight w:val="850" w:hRule="exact"/>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rPr>
              <w:t>住宅</w:t>
            </w:r>
          </w:p>
        </w:tc>
        <w:tc>
          <w:tcPr>
            <w:tcW w:w="1559"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FF0000"/>
                <w:sz w:val="22"/>
                <w:szCs w:val="22"/>
                <w:lang w:val="en-US" w:eastAsia="zh-CN"/>
              </w:rPr>
            </w:pPr>
          </w:p>
        </w:tc>
        <w:tc>
          <w:tcPr>
            <w:tcW w:w="1560" w:type="dxa"/>
            <w:tcBorders>
              <w:top w:val="nil"/>
              <w:left w:val="nil"/>
              <w:bottom w:val="single" w:color="auto" w:sz="4" w:space="0"/>
              <w:right w:val="single" w:color="auto" w:sz="4" w:space="0"/>
            </w:tcBorders>
            <w:noWrap w:val="0"/>
            <w:vAlign w:val="center"/>
          </w:tcPr>
          <w:p>
            <w:pPr>
              <w:jc w:val="center"/>
              <w:rPr>
                <w:rFonts w:hint="default" w:ascii="宋体" w:hAnsi="宋体" w:cs="宋体"/>
                <w:color w:val="FF0000"/>
                <w:sz w:val="22"/>
                <w:szCs w:val="22"/>
                <w:lang w:val="en-US"/>
              </w:rPr>
            </w:pPr>
            <w:r>
              <w:rPr>
                <w:rFonts w:hint="eastAsia"/>
                <w:color w:val="FF0000"/>
                <w:sz w:val="22"/>
                <w:szCs w:val="22"/>
                <w:lang w:val="en-US" w:eastAsia="zh-CN"/>
              </w:rPr>
              <w:t>187.15</w:t>
            </w:r>
          </w:p>
        </w:tc>
        <w:tc>
          <w:tcPr>
            <w:tcW w:w="1842" w:type="dxa"/>
            <w:tcBorders>
              <w:top w:val="nil"/>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lang w:val="en-US" w:eastAsia="zh-CN"/>
              </w:rPr>
              <w:t>5,100</w:t>
            </w:r>
            <w:r>
              <w:rPr>
                <w:rFonts w:hint="eastAsia"/>
                <w:color w:val="FF0000"/>
                <w:sz w:val="22"/>
                <w:szCs w:val="22"/>
              </w:rPr>
              <w:t>.00</w:t>
            </w:r>
          </w:p>
        </w:tc>
        <w:tc>
          <w:tcPr>
            <w:tcW w:w="1853" w:type="dxa"/>
            <w:tcBorders>
              <w:top w:val="nil"/>
              <w:left w:val="nil"/>
              <w:bottom w:val="single" w:color="auto" w:sz="4" w:space="0"/>
              <w:right w:val="single" w:color="auto" w:sz="4" w:space="0"/>
            </w:tcBorders>
            <w:noWrap w:val="0"/>
            <w:vAlign w:val="center"/>
          </w:tcPr>
          <w:p>
            <w:pPr>
              <w:jc w:val="center"/>
              <w:rPr>
                <w:rFonts w:ascii="宋体" w:hAnsi="宋体" w:cs="宋体"/>
                <w:color w:val="FF0000"/>
                <w:sz w:val="22"/>
                <w:szCs w:val="22"/>
              </w:rPr>
            </w:pPr>
            <w:r>
              <w:rPr>
                <w:rFonts w:hint="eastAsia"/>
                <w:color w:val="FF0000"/>
                <w:sz w:val="22"/>
                <w:szCs w:val="22"/>
                <w:lang w:val="en-US" w:eastAsia="zh-CN"/>
              </w:rPr>
              <w:t>954</w:t>
            </w:r>
            <w:r>
              <w:rPr>
                <w:rFonts w:hint="eastAsia"/>
                <w:color w:val="FF0000"/>
                <w:sz w:val="22"/>
                <w:szCs w:val="22"/>
              </w:rPr>
              <w:t>,</w:t>
            </w:r>
            <w:r>
              <w:rPr>
                <w:rFonts w:hint="eastAsia"/>
                <w:color w:val="FF0000"/>
                <w:sz w:val="22"/>
                <w:szCs w:val="22"/>
                <w:lang w:val="en-US" w:eastAsia="zh-CN"/>
              </w:rPr>
              <w:t>465</w:t>
            </w:r>
            <w:r>
              <w:rPr>
                <w:rFonts w:hint="eastAsia"/>
                <w:color w:val="FF0000"/>
                <w:sz w:val="22"/>
                <w:szCs w:val="22"/>
              </w:rPr>
              <w:t>.00</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color w:val="FF0000"/>
                <w:sz w:val="22"/>
                <w:szCs w:val="22"/>
              </w:rPr>
            </w:pPr>
          </w:p>
        </w:tc>
      </w:tr>
    </w:tbl>
    <w:p>
      <w:pPr>
        <w:topLinePunct/>
        <w:spacing w:line="480" w:lineRule="exact"/>
        <w:ind w:firstLine="560" w:firstLineChars="200"/>
        <w:rPr>
          <w:rFonts w:hint="eastAsia"/>
          <w:sz w:val="28"/>
          <w:szCs w:val="28"/>
        </w:rPr>
      </w:pPr>
    </w:p>
    <w:p>
      <w:pPr>
        <w:spacing w:line="520" w:lineRule="exact"/>
        <w:ind w:firstLine="562" w:firstLineChars="200"/>
        <w:outlineLvl w:val="1"/>
        <w:rPr>
          <w:rFonts w:hint="eastAsia" w:cs="宋体"/>
          <w:b/>
          <w:bCs/>
          <w:sz w:val="28"/>
          <w:szCs w:val="28"/>
        </w:rPr>
      </w:pPr>
      <w:r>
        <w:rPr>
          <w:rFonts w:hint="eastAsia" w:cs="宋体"/>
          <w:b/>
          <w:bCs/>
          <w:sz w:val="28"/>
          <w:szCs w:val="28"/>
        </w:rPr>
        <w:t>十一、注册房地产估价师</w:t>
      </w:r>
    </w:p>
    <w:p>
      <w:pPr>
        <w:spacing w:line="520" w:lineRule="exact"/>
        <w:ind w:firstLine="562" w:firstLineChars="200"/>
        <w:outlineLvl w:val="1"/>
        <w:rPr>
          <w:rFonts w:hint="eastAsia" w:cs="宋体"/>
          <w:b/>
          <w:bCs/>
          <w:sz w:val="28"/>
          <w:szCs w:val="28"/>
        </w:rPr>
      </w:pPr>
    </w:p>
    <w:p>
      <w:pPr>
        <w:spacing w:line="520" w:lineRule="exact"/>
        <w:ind w:firstLine="560" w:firstLineChars="200"/>
        <w:outlineLvl w:val="1"/>
        <w:rPr>
          <w:rFonts w:hint="eastAsia" w:cs="宋体"/>
          <w:bCs/>
          <w:sz w:val="28"/>
          <w:szCs w:val="28"/>
        </w:rPr>
      </w:pPr>
      <w:r>
        <w:rPr>
          <w:rFonts w:hint="eastAsia" w:cs="宋体"/>
          <w:bCs/>
          <w:sz w:val="28"/>
          <w:szCs w:val="28"/>
        </w:rPr>
        <w:t>董义虎（注册号：2120110032）</w:t>
      </w:r>
    </w:p>
    <w:p>
      <w:pPr>
        <w:spacing w:line="520" w:lineRule="exact"/>
        <w:outlineLvl w:val="1"/>
        <w:rPr>
          <w:rFonts w:hint="eastAsia" w:cs="宋体"/>
          <w:bCs/>
          <w:sz w:val="28"/>
          <w:szCs w:val="28"/>
        </w:rPr>
      </w:pPr>
    </w:p>
    <w:p>
      <w:pPr>
        <w:spacing w:line="520" w:lineRule="exact"/>
        <w:ind w:firstLine="560" w:firstLineChars="200"/>
        <w:outlineLvl w:val="1"/>
        <w:rPr>
          <w:rFonts w:hint="eastAsia" w:cs="宋体"/>
          <w:bCs/>
          <w:sz w:val="28"/>
          <w:szCs w:val="28"/>
        </w:rPr>
      </w:pPr>
      <w:r>
        <w:rPr>
          <w:rFonts w:hint="eastAsia" w:cs="宋体"/>
          <w:bCs/>
          <w:sz w:val="28"/>
          <w:szCs w:val="28"/>
          <w:lang w:val="en-US" w:eastAsia="zh-CN"/>
        </w:rPr>
        <w:t>孙广升</w:t>
      </w:r>
      <w:r>
        <w:rPr>
          <w:rFonts w:hint="eastAsia" w:cs="宋体"/>
          <w:bCs/>
          <w:sz w:val="28"/>
          <w:szCs w:val="28"/>
        </w:rPr>
        <w:t>（注册号：21201</w:t>
      </w:r>
      <w:r>
        <w:rPr>
          <w:rFonts w:hint="eastAsia" w:cs="宋体"/>
          <w:bCs/>
          <w:sz w:val="28"/>
          <w:szCs w:val="28"/>
          <w:lang w:val="en-US" w:eastAsia="zh-CN"/>
        </w:rPr>
        <w:t>40011</w:t>
      </w:r>
      <w:r>
        <w:rPr>
          <w:rFonts w:hint="eastAsia" w:cs="宋体"/>
          <w:bCs/>
          <w:sz w:val="28"/>
          <w:szCs w:val="28"/>
        </w:rPr>
        <w:t>）</w:t>
      </w:r>
    </w:p>
    <w:bookmarkEnd w:id="19"/>
    <w:p>
      <w:pPr>
        <w:numPr>
          <w:ilvl w:val="0"/>
          <w:numId w:val="4"/>
        </w:numPr>
        <w:spacing w:line="520" w:lineRule="exact"/>
        <w:ind w:firstLine="562" w:firstLineChars="200"/>
        <w:outlineLvl w:val="1"/>
        <w:rPr>
          <w:rFonts w:hint="eastAsia" w:cs="宋体"/>
          <w:b/>
          <w:bCs/>
          <w:sz w:val="28"/>
          <w:szCs w:val="28"/>
        </w:rPr>
      </w:pPr>
      <w:r>
        <w:rPr>
          <w:rFonts w:hint="eastAsia" w:cs="宋体"/>
          <w:b/>
          <w:bCs/>
          <w:sz w:val="28"/>
          <w:szCs w:val="28"/>
        </w:rPr>
        <w:t>实地查勘期</w:t>
      </w:r>
    </w:p>
    <w:p>
      <w:pPr>
        <w:spacing w:line="520" w:lineRule="exact"/>
        <w:ind w:firstLine="560" w:firstLineChars="200"/>
        <w:outlineLvl w:val="1"/>
        <w:rPr>
          <w:rFonts w:hint="eastAsia" w:eastAsia="宋体" w:cs="宋体"/>
          <w:bCs/>
          <w:sz w:val="28"/>
          <w:szCs w:val="28"/>
          <w:lang w:eastAsia="zh-CN"/>
        </w:rPr>
      </w:pPr>
      <w:r>
        <w:rPr>
          <w:rFonts w:hint="eastAsia" w:cs="宋体"/>
          <w:bCs/>
          <w:sz w:val="28"/>
          <w:szCs w:val="28"/>
          <w:lang w:eastAsia="zh-CN"/>
        </w:rPr>
        <w:t>201</w:t>
      </w:r>
      <w:r>
        <w:rPr>
          <w:rFonts w:hint="eastAsia" w:cs="宋体"/>
          <w:bCs/>
          <w:sz w:val="28"/>
          <w:szCs w:val="28"/>
          <w:lang w:val="en-US" w:eastAsia="zh-CN"/>
        </w:rPr>
        <w:t>9</w:t>
      </w:r>
      <w:r>
        <w:rPr>
          <w:rFonts w:hint="eastAsia" w:cs="宋体"/>
          <w:bCs/>
          <w:sz w:val="28"/>
          <w:szCs w:val="28"/>
          <w:lang w:eastAsia="zh-CN"/>
        </w:rPr>
        <w:t>年</w:t>
      </w:r>
      <w:r>
        <w:rPr>
          <w:rFonts w:hint="eastAsia" w:cs="宋体"/>
          <w:bCs/>
          <w:sz w:val="28"/>
          <w:szCs w:val="28"/>
          <w:lang w:val="en-US" w:eastAsia="zh-CN"/>
        </w:rPr>
        <w:t>09</w:t>
      </w:r>
      <w:r>
        <w:rPr>
          <w:rFonts w:hint="eastAsia" w:cs="宋体"/>
          <w:bCs/>
          <w:sz w:val="28"/>
          <w:szCs w:val="28"/>
          <w:lang w:eastAsia="zh-CN"/>
        </w:rPr>
        <w:t>月</w:t>
      </w:r>
      <w:r>
        <w:rPr>
          <w:rFonts w:hint="eastAsia" w:cs="宋体"/>
          <w:bCs/>
          <w:sz w:val="28"/>
          <w:szCs w:val="28"/>
          <w:lang w:val="en-US" w:eastAsia="zh-CN"/>
        </w:rPr>
        <w:t>23</w:t>
      </w:r>
      <w:r>
        <w:rPr>
          <w:rFonts w:hint="eastAsia" w:cs="宋体"/>
          <w:bCs/>
          <w:sz w:val="28"/>
          <w:szCs w:val="28"/>
          <w:lang w:eastAsia="zh-CN"/>
        </w:rPr>
        <w:t>日</w:t>
      </w:r>
    </w:p>
    <w:p>
      <w:pPr>
        <w:pStyle w:val="4"/>
        <w:spacing w:after="0" w:line="520" w:lineRule="exact"/>
        <w:ind w:left="0" w:leftChars="0" w:firstLine="562" w:firstLineChars="200"/>
        <w:rPr>
          <w:rFonts w:hint="eastAsia" w:cs="宋体"/>
          <w:b/>
          <w:bCs/>
          <w:sz w:val="28"/>
          <w:szCs w:val="28"/>
        </w:rPr>
      </w:pPr>
      <w:bookmarkStart w:id="20" w:name="_Toc275961682"/>
      <w:r>
        <w:rPr>
          <w:rFonts w:hint="eastAsia" w:cs="宋体"/>
          <w:b/>
          <w:bCs/>
          <w:sz w:val="28"/>
          <w:szCs w:val="28"/>
        </w:rPr>
        <w:t>十三、</w:t>
      </w:r>
      <w:bookmarkEnd w:id="20"/>
      <w:r>
        <w:rPr>
          <w:rFonts w:hint="eastAsia" w:cs="宋体"/>
          <w:b/>
          <w:bCs/>
          <w:sz w:val="28"/>
          <w:szCs w:val="28"/>
        </w:rPr>
        <w:t>估价作业期</w:t>
      </w:r>
    </w:p>
    <w:p>
      <w:pPr>
        <w:spacing w:line="520" w:lineRule="exact"/>
        <w:ind w:firstLine="560" w:firstLineChars="200"/>
        <w:outlineLvl w:val="1"/>
        <w:rPr>
          <w:rFonts w:hint="eastAsia" w:cs="宋体"/>
          <w:bCs/>
          <w:sz w:val="28"/>
          <w:szCs w:val="28"/>
        </w:rPr>
      </w:pPr>
      <w:r>
        <w:rPr>
          <w:rFonts w:hint="eastAsia" w:cs="宋体"/>
          <w:bCs/>
          <w:sz w:val="28"/>
          <w:szCs w:val="28"/>
          <w:lang w:eastAsia="zh-CN"/>
        </w:rPr>
        <w:t>201</w:t>
      </w:r>
      <w:r>
        <w:rPr>
          <w:rFonts w:hint="eastAsia" w:cs="宋体"/>
          <w:bCs/>
          <w:sz w:val="28"/>
          <w:szCs w:val="28"/>
          <w:lang w:val="en-US" w:eastAsia="zh-CN"/>
        </w:rPr>
        <w:t>9</w:t>
      </w:r>
      <w:r>
        <w:rPr>
          <w:rFonts w:hint="eastAsia" w:cs="宋体"/>
          <w:bCs/>
          <w:sz w:val="28"/>
          <w:szCs w:val="28"/>
          <w:lang w:eastAsia="zh-CN"/>
        </w:rPr>
        <w:t>年</w:t>
      </w:r>
      <w:r>
        <w:rPr>
          <w:rFonts w:hint="eastAsia" w:cs="宋体"/>
          <w:bCs/>
          <w:sz w:val="28"/>
          <w:szCs w:val="28"/>
          <w:lang w:val="en-US" w:eastAsia="zh-CN"/>
        </w:rPr>
        <w:t>09</w:t>
      </w:r>
      <w:r>
        <w:rPr>
          <w:rFonts w:hint="eastAsia" w:cs="宋体"/>
          <w:bCs/>
          <w:sz w:val="28"/>
          <w:szCs w:val="28"/>
          <w:lang w:eastAsia="zh-CN"/>
        </w:rPr>
        <w:t>月</w:t>
      </w:r>
      <w:r>
        <w:rPr>
          <w:rFonts w:hint="eastAsia" w:cs="宋体"/>
          <w:bCs/>
          <w:sz w:val="28"/>
          <w:szCs w:val="28"/>
          <w:lang w:val="en-US" w:eastAsia="zh-CN"/>
        </w:rPr>
        <w:t>23</w:t>
      </w:r>
      <w:r>
        <w:rPr>
          <w:rFonts w:hint="eastAsia" w:cs="宋体"/>
          <w:bCs/>
          <w:sz w:val="28"/>
          <w:szCs w:val="28"/>
          <w:lang w:eastAsia="zh-CN"/>
        </w:rPr>
        <w:t>日</w:t>
      </w:r>
      <w:r>
        <w:rPr>
          <w:rFonts w:hint="eastAsia" w:cs="宋体"/>
          <w:bCs/>
          <w:sz w:val="28"/>
          <w:szCs w:val="28"/>
        </w:rPr>
        <w:t>至201</w:t>
      </w:r>
      <w:r>
        <w:rPr>
          <w:rFonts w:hint="eastAsia" w:cs="宋体"/>
          <w:bCs/>
          <w:sz w:val="28"/>
          <w:szCs w:val="28"/>
          <w:lang w:val="en-US" w:eastAsia="zh-CN"/>
        </w:rPr>
        <w:t>9</w:t>
      </w:r>
      <w:r>
        <w:rPr>
          <w:rFonts w:hint="eastAsia" w:cs="宋体"/>
          <w:bCs/>
          <w:sz w:val="28"/>
          <w:szCs w:val="28"/>
        </w:rPr>
        <w:t>年</w:t>
      </w:r>
      <w:r>
        <w:rPr>
          <w:rFonts w:hint="eastAsia" w:cs="宋体"/>
          <w:bCs/>
          <w:sz w:val="28"/>
          <w:szCs w:val="28"/>
          <w:lang w:val="en-US" w:eastAsia="zh-CN"/>
        </w:rPr>
        <w:t>10</w:t>
      </w:r>
      <w:r>
        <w:rPr>
          <w:rFonts w:hint="eastAsia" w:cs="宋体"/>
          <w:bCs/>
          <w:sz w:val="28"/>
          <w:szCs w:val="28"/>
        </w:rPr>
        <w:t>月</w:t>
      </w:r>
      <w:r>
        <w:rPr>
          <w:rFonts w:hint="eastAsia" w:cs="宋体"/>
          <w:bCs/>
          <w:sz w:val="28"/>
          <w:szCs w:val="28"/>
          <w:lang w:val="en-US" w:eastAsia="zh-CN"/>
        </w:rPr>
        <w:t>11</w:t>
      </w:r>
      <w:r>
        <w:rPr>
          <w:rFonts w:hint="eastAsia" w:cs="宋体"/>
          <w:bCs/>
          <w:sz w:val="28"/>
          <w:szCs w:val="28"/>
        </w:rPr>
        <w:t>日</w:t>
      </w:r>
    </w:p>
    <w:p>
      <w:pPr>
        <w:pStyle w:val="4"/>
        <w:spacing w:line="540" w:lineRule="exact"/>
        <w:ind w:left="0" w:leftChars="0"/>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15" w:leftChars="7" w:firstLine="344" w:firstLineChars="107"/>
        <w:jc w:val="center"/>
        <w:rPr>
          <w:rFonts w:hint="eastAsia" w:ascii="宋体" w:hAnsi="宋体" w:cs="宋体"/>
          <w:b/>
          <w:bCs/>
          <w:sz w:val="32"/>
          <w:szCs w:val="32"/>
        </w:rPr>
      </w:pPr>
    </w:p>
    <w:p>
      <w:pPr>
        <w:pStyle w:val="4"/>
        <w:spacing w:line="540" w:lineRule="exact"/>
        <w:ind w:left="0" w:leftChars="0" w:firstLine="0" w:firstLineChars="0"/>
        <w:jc w:val="both"/>
        <w:rPr>
          <w:rFonts w:hint="eastAsia" w:ascii="宋体" w:hAnsi="宋体" w:cs="宋体"/>
          <w:b/>
          <w:bCs/>
          <w:sz w:val="32"/>
          <w:szCs w:val="32"/>
        </w:rPr>
      </w:pPr>
    </w:p>
    <w:p>
      <w:pPr>
        <w:pStyle w:val="4"/>
        <w:spacing w:line="540" w:lineRule="exact"/>
        <w:ind w:left="0" w:leftChars="0" w:firstLine="0" w:firstLineChars="0"/>
        <w:jc w:val="both"/>
        <w:rPr>
          <w:rFonts w:hint="eastAsia" w:ascii="宋体" w:hAnsi="宋体" w:cs="宋体"/>
          <w:b/>
          <w:bCs/>
          <w:sz w:val="32"/>
          <w:szCs w:val="32"/>
        </w:rPr>
      </w:pPr>
    </w:p>
    <w:p>
      <w:pPr>
        <w:pStyle w:val="4"/>
        <w:spacing w:line="540" w:lineRule="exact"/>
        <w:ind w:left="0" w:leftChars="0" w:firstLine="0" w:firstLineChars="0"/>
        <w:jc w:val="both"/>
        <w:rPr>
          <w:rFonts w:hint="eastAsia" w:ascii="宋体" w:hAnsi="宋体" w:cs="宋体"/>
          <w:b/>
          <w:bCs/>
          <w:sz w:val="32"/>
          <w:szCs w:val="32"/>
        </w:rPr>
      </w:pPr>
    </w:p>
    <w:p>
      <w:pPr>
        <w:pStyle w:val="4"/>
        <w:spacing w:line="540" w:lineRule="exact"/>
        <w:ind w:left="0" w:leftChars="0" w:firstLine="0" w:firstLineChars="0"/>
        <w:jc w:val="both"/>
        <w:rPr>
          <w:rFonts w:hint="eastAsia" w:ascii="宋体" w:hAnsi="宋体" w:cs="宋体"/>
          <w:b/>
          <w:bCs/>
          <w:sz w:val="32"/>
          <w:szCs w:val="32"/>
        </w:rPr>
      </w:pPr>
    </w:p>
    <w:p>
      <w:pPr>
        <w:pStyle w:val="4"/>
        <w:spacing w:line="540" w:lineRule="exact"/>
        <w:ind w:left="0" w:leftChars="0" w:firstLine="0" w:firstLineChars="0"/>
        <w:jc w:val="both"/>
        <w:rPr>
          <w:rFonts w:hint="eastAsia" w:ascii="宋体" w:hAnsi="宋体" w:cs="宋体"/>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pBdr>
        <w:top w:val="single" w:color="auto" w:sz="4" w:space="1"/>
      </w:pBdr>
      <w:ind w:right="360"/>
    </w:pPr>
    <w:r>
      <w:rPr>
        <w:rFonts w:hint="eastAsia"/>
        <w:i/>
      </w:rPr>
      <w:t>地址：辽阳市白塔区劳动街25-3号                   电话：2155852  传真：3798822</w:t>
    </w:r>
    <w:r>
      <w:rPr>
        <w:rFonts w:hint="eastAsia" w:ascii="宋体" w:hAnsi="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cs="宋体"/>
      </w:rPr>
    </w:pPr>
    <w:r>
      <w:rPr>
        <w:rFonts w:hint="eastAsia"/>
        <w:lang w:val="zh-CN"/>
      </w:rPr>
      <w:drawing>
        <wp:inline distT="0" distB="0" distL="114300" distR="114300">
          <wp:extent cx="394970" cy="325755"/>
          <wp:effectExtent l="0" t="0" r="43180" b="361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94970" cy="325755"/>
                  </a:xfrm>
                  <a:prstGeom prst="rect">
                    <a:avLst/>
                  </a:prstGeom>
                  <a:noFill/>
                  <a:ln>
                    <a:noFill/>
                  </a:ln>
                  <a:effectLst>
                    <a:outerShdw dist="35921" dir="2699999" algn="ctr" rotWithShape="0">
                      <a:srgbClr val="FFFFFF"/>
                    </a:outerShdw>
                  </a:effectLst>
                </pic:spPr>
              </pic:pic>
            </a:graphicData>
          </a:graphic>
        </wp:inline>
      </w:drawing>
    </w:r>
    <w:r>
      <w:t xml:space="preserve">                         </w:t>
    </w:r>
    <w:r>
      <w:rPr>
        <w:rFonts w:hint="eastAsia"/>
      </w:rPr>
      <w:t xml:space="preserve">        </w:t>
    </w:r>
    <w:r>
      <w:t xml:space="preserve">          </w:t>
    </w:r>
    <w:r>
      <w:rPr>
        <w:rFonts w:hint="eastAsia"/>
      </w:rPr>
      <w:t xml:space="preserve">          </w:t>
    </w:r>
    <w:r>
      <w:t xml:space="preserve">       </w:t>
    </w:r>
    <w:r>
      <w:rPr>
        <w:rFonts w:hint="eastAsia" w:cs="宋体"/>
      </w:rPr>
      <w:t>辽宁华阳房地产评估有限公司</w:t>
    </w:r>
  </w:p>
  <w:p>
    <w:pPr>
      <w:pStyle w:val="7"/>
      <w:pBdr>
        <w:top w:val="none" w:color="auto" w:sz="0" w:space="1"/>
        <w:left w:val="none" w:color="auto" w:sz="0" w:space="4"/>
        <w:bottom w:val="none" w:color="auto" w:sz="0" w:space="1"/>
        <w:right w:val="none" w:color="auto" w:sz="0" w:space="4"/>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zh-CN"/>
      </w:rPr>
      <w:pict>
        <v:shape id="PowerPlusWaterMarkObject2" o:spid="_x0000_s2049" o:spt="136" type="#_x0000_t136" style="position:absolute;left:0pt;height:24.65pt;width:567.8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非正式报告，不得用于抵押登记，仅供金融机构参考"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D5FE"/>
    <w:multiLevelType w:val="singleLevel"/>
    <w:tmpl w:val="5864D5FE"/>
    <w:lvl w:ilvl="0" w:tentative="0">
      <w:start w:val="1"/>
      <w:numFmt w:val="chineseCounting"/>
      <w:suff w:val="nothing"/>
      <w:lvlText w:val="%1、"/>
      <w:lvlJc w:val="left"/>
    </w:lvl>
  </w:abstractNum>
  <w:abstractNum w:abstractNumId="1">
    <w:nsid w:val="5865A184"/>
    <w:multiLevelType w:val="singleLevel"/>
    <w:tmpl w:val="5865A184"/>
    <w:lvl w:ilvl="0" w:tentative="0">
      <w:start w:val="1"/>
      <w:numFmt w:val="decimal"/>
      <w:suff w:val="nothing"/>
      <w:lvlText w:val="%1、"/>
      <w:lvlJc w:val="left"/>
    </w:lvl>
  </w:abstractNum>
  <w:abstractNum w:abstractNumId="2">
    <w:nsid w:val="5865A932"/>
    <w:multiLevelType w:val="singleLevel"/>
    <w:tmpl w:val="5865A932"/>
    <w:lvl w:ilvl="0" w:tentative="0">
      <w:start w:val="12"/>
      <w:numFmt w:val="chineseCounting"/>
      <w:suff w:val="nothing"/>
      <w:lvlText w:val="%1、"/>
      <w:lvlJc w:val="left"/>
    </w:lvl>
  </w:abstractNum>
  <w:abstractNum w:abstractNumId="3">
    <w:nsid w:val="58A27A02"/>
    <w:multiLevelType w:val="singleLevel"/>
    <w:tmpl w:val="58A27A02"/>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7237C"/>
    <w:rsid w:val="03172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Indent"/>
    <w:basedOn w:val="1"/>
    <w:uiPriority w:val="0"/>
    <w:pPr>
      <w:spacing w:after="120" w:afterLines="0"/>
      <w:ind w:left="420" w:leftChars="200"/>
    </w:pPr>
  </w:style>
  <w:style w:type="paragraph" w:styleId="5">
    <w:name w:val="Plain Text"/>
    <w:basedOn w:val="1"/>
    <w:uiPriority w:val="0"/>
    <w:rPr>
      <w:rFonts w:ascii="宋体" w:hAnsi="Courier New"/>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iPriority w:val="0"/>
    <w:pPr>
      <w:tabs>
        <w:tab w:val="right" w:leader="dot" w:pos="8776"/>
      </w:tabs>
      <w:jc w:val="distribute"/>
    </w:pPr>
  </w:style>
  <w:style w:type="paragraph" w:styleId="9">
    <w:name w:val="toc 2"/>
    <w:basedOn w:val="1"/>
    <w:next w:val="1"/>
    <w:uiPriority w:val="0"/>
    <w:pPr>
      <w:ind w:left="420" w:leftChars="200"/>
    </w:p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uiPriority w:val="0"/>
  </w:style>
  <w:style w:type="character" w:styleId="14">
    <w:name w:val="Hyperlink"/>
    <w:basedOn w:val="1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2020-03-04T01:44:00Z</dcterms:created>
  <dc:creator>lnhy</dc:creator>
  <cp:lastModifiedBy>lnhy</cp:lastModifiedBy>
  <dcterms:modified xsi:type="dcterms:W3CDTF">2020-03-04T01:45:30Z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