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480"/>
        <w:ind w:right="-74"/>
        <w:jc w:val="right"/>
        <w:outlineLvl w:val="0"/>
        <w:rPr>
          <w:rFonts w:hint="default" w:ascii="宋体"/>
          <w:b/>
          <w:color w:val="000000"/>
          <w:sz w:val="28"/>
        </w:rPr>
      </w:pPr>
      <w:r>
        <w:rPr>
          <w:rFonts w:hint="eastAsia" w:ascii="宋体" w:hAnsi="宋体"/>
          <w:b/>
          <w:color w:val="000000"/>
          <w:sz w:val="28"/>
          <w:lang w:val="en-US" w:eastAsia="zh-CN"/>
        </w:rPr>
        <w:t>辽【涉价】</w:t>
      </w:r>
      <w:r>
        <w:rPr>
          <w:rFonts w:hint="eastAsia" w:ascii="宋体" w:hAnsi="宋体"/>
          <w:b/>
          <w:color w:val="000000"/>
          <w:sz w:val="28"/>
        </w:rPr>
        <w:t>字</w:t>
      </w:r>
      <w:r>
        <w:rPr>
          <w:rFonts w:hint="eastAsia" w:ascii="宋体" w:hAnsi="宋体"/>
          <w:b/>
          <w:color w:val="000000"/>
          <w:sz w:val="28"/>
          <w:lang w:eastAsia="zh-CN"/>
        </w:rPr>
        <w:t>第</w:t>
      </w:r>
      <w:r>
        <w:rPr>
          <w:rFonts w:hint="eastAsia" w:ascii="宋体" w:hAnsi="宋体"/>
          <w:b/>
          <w:color w:val="000000"/>
          <w:sz w:val="28"/>
          <w:highlight w:val="none"/>
          <w:lang w:val="en-US" w:eastAsia="zh-CN"/>
        </w:rPr>
        <w:t>201001</w:t>
      </w:r>
      <w:r>
        <w:rPr>
          <w:rFonts w:hint="eastAsia" w:ascii="宋体" w:hAnsi="宋体"/>
          <w:b/>
          <w:color w:val="000000"/>
          <w:sz w:val="28"/>
        </w:rPr>
        <w:t>号</w:t>
      </w:r>
    </w:p>
    <w:p>
      <w:pPr>
        <w:snapToGrid w:val="0"/>
        <w:spacing w:before="480"/>
        <w:ind w:right="-74"/>
        <w:jc w:val="right"/>
        <w:outlineLvl w:val="0"/>
        <w:rPr>
          <w:rFonts w:hint="default" w:ascii="宋体"/>
          <w:b/>
          <w:color w:val="000000"/>
          <w:sz w:val="28"/>
        </w:rPr>
      </w:pPr>
      <w:r>
        <w:rPr>
          <w:rFonts w:hint="eastAsia" w:ascii="宋体" w:hAnsi="宋体"/>
          <w:b/>
          <w:sz w:val="84"/>
          <w:szCs w:val="84"/>
        </w:rPr>
        <w:t xml:space="preserve"> </w:t>
      </w:r>
    </w:p>
    <w:p>
      <w:pPr>
        <w:snapToGrid w:val="0"/>
        <w:spacing w:before="480"/>
        <w:ind w:right="-74"/>
        <w:jc w:val="both"/>
        <w:outlineLvl w:val="0"/>
        <w:rPr>
          <w:rFonts w:hint="default" w:ascii="宋体" w:hAnsi="宋体"/>
          <w:b/>
          <w:sz w:val="84"/>
          <w:szCs w:val="84"/>
        </w:rPr>
      </w:pPr>
    </w:p>
    <w:p>
      <w:pPr>
        <w:snapToGrid w:val="0"/>
        <w:spacing w:before="480"/>
        <w:ind w:right="-74"/>
        <w:jc w:val="center"/>
        <w:outlineLvl w:val="0"/>
        <w:rPr>
          <w:rFonts w:hint="default" w:ascii="宋体"/>
          <w:b/>
          <w:sz w:val="56"/>
        </w:rPr>
      </w:pPr>
      <w:r>
        <w:rPr>
          <w:rFonts w:hint="eastAsia" w:ascii="宋体" w:hAnsi="宋体"/>
          <w:b/>
          <w:spacing w:val="100"/>
          <w:sz w:val="72"/>
          <w:szCs w:val="72"/>
        </w:rPr>
        <w:t>价格评估</w:t>
      </w:r>
      <w:r>
        <w:rPr>
          <w:rFonts w:hint="eastAsia" w:ascii="宋体" w:hAnsi="宋体"/>
          <w:b/>
          <w:spacing w:val="100"/>
          <w:sz w:val="72"/>
          <w:szCs w:val="72"/>
          <w:lang w:eastAsia="zh-CN"/>
        </w:rPr>
        <w:t>报告</w:t>
      </w:r>
      <w:r>
        <w:rPr>
          <w:rFonts w:hint="eastAsia" w:ascii="宋体" w:hAnsi="宋体"/>
          <w:b/>
          <w:spacing w:val="100"/>
          <w:sz w:val="72"/>
          <w:szCs w:val="72"/>
        </w:rPr>
        <w:t>书</w:t>
      </w:r>
    </w:p>
    <w:p>
      <w:pPr>
        <w:snapToGrid w:val="0"/>
        <w:spacing w:before="480"/>
        <w:ind w:right="-74"/>
        <w:jc w:val="center"/>
        <w:outlineLvl w:val="0"/>
        <w:rPr>
          <w:rFonts w:hint="eastAsia" w:ascii="宋体"/>
          <w:b/>
          <w:sz w:val="32"/>
          <w:szCs w:val="32"/>
          <w:lang w:eastAsia="zh-CN"/>
        </w:rPr>
      </w:pPr>
    </w:p>
    <w:p>
      <w:pPr>
        <w:snapToGrid w:val="0"/>
        <w:spacing w:before="480"/>
        <w:ind w:right="-74"/>
        <w:jc w:val="center"/>
        <w:outlineLvl w:val="0"/>
        <w:rPr>
          <w:rFonts w:hint="eastAsia" w:ascii="宋体"/>
          <w:b/>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right="0"/>
        <w:jc w:val="center"/>
        <w:textAlignment w:val="auto"/>
        <w:outlineLvl w:val="0"/>
        <w:rPr>
          <w:rFonts w:hint="eastAsia" w:ascii="宋体"/>
          <w:b/>
          <w:sz w:val="32"/>
          <w:szCs w:val="32"/>
          <w:lang w:eastAsia="zh-CN"/>
        </w:rPr>
      </w:pPr>
      <w:r>
        <w:rPr>
          <w:rFonts w:hint="eastAsia" w:ascii="宋体"/>
          <w:b/>
          <w:sz w:val="32"/>
          <w:szCs w:val="32"/>
          <w:lang w:eastAsia="zh-CN"/>
        </w:rPr>
        <w:t>沈阳市中级人民法院</w:t>
      </w:r>
    </w:p>
    <w:p>
      <w:pPr>
        <w:keepNext w:val="0"/>
        <w:keepLines w:val="0"/>
        <w:pageBreakBefore w:val="0"/>
        <w:widowControl w:val="0"/>
        <w:kinsoku/>
        <w:wordWrap/>
        <w:overflowPunct/>
        <w:topLinePunct w:val="0"/>
        <w:autoSpaceDE/>
        <w:autoSpaceDN/>
        <w:bidi w:val="0"/>
        <w:adjustRightInd/>
        <w:snapToGrid w:val="0"/>
        <w:spacing w:line="360" w:lineRule="auto"/>
        <w:ind w:right="0"/>
        <w:jc w:val="center"/>
        <w:textAlignment w:val="auto"/>
        <w:outlineLvl w:val="0"/>
        <w:rPr>
          <w:rFonts w:hint="default" w:ascii="宋体"/>
          <w:b/>
          <w:sz w:val="32"/>
          <w:szCs w:val="32"/>
          <w:lang w:val="en-US" w:eastAsia="zh-CN"/>
        </w:rPr>
      </w:pPr>
      <w:r>
        <w:rPr>
          <w:rFonts w:hint="eastAsia" w:ascii="宋体"/>
          <w:b/>
          <w:sz w:val="32"/>
          <w:szCs w:val="32"/>
          <w:lang w:eastAsia="zh-CN"/>
        </w:rPr>
        <w:t>（</w:t>
      </w:r>
      <w:r>
        <w:rPr>
          <w:rFonts w:hint="eastAsia" w:ascii="宋体"/>
          <w:b/>
          <w:sz w:val="32"/>
          <w:szCs w:val="32"/>
          <w:lang w:val="en-US" w:eastAsia="zh-CN"/>
        </w:rPr>
        <w:t>2019</w:t>
      </w:r>
      <w:r>
        <w:rPr>
          <w:rFonts w:hint="eastAsia" w:ascii="宋体"/>
          <w:b/>
          <w:sz w:val="32"/>
          <w:szCs w:val="32"/>
          <w:lang w:eastAsia="zh-CN"/>
        </w:rPr>
        <w:t>）辽</w:t>
      </w:r>
      <w:r>
        <w:rPr>
          <w:rFonts w:hint="eastAsia" w:ascii="宋体"/>
          <w:b/>
          <w:sz w:val="32"/>
          <w:szCs w:val="32"/>
          <w:lang w:val="en-US" w:eastAsia="zh-CN"/>
        </w:rPr>
        <w:t>01执1389号</w:t>
      </w:r>
    </w:p>
    <w:p>
      <w:pPr>
        <w:snapToGrid w:val="0"/>
        <w:spacing w:before="480"/>
        <w:ind w:right="-74"/>
        <w:jc w:val="center"/>
        <w:outlineLvl w:val="0"/>
        <w:rPr>
          <w:rFonts w:hint="default" w:ascii="宋体"/>
          <w:b/>
          <w:sz w:val="56"/>
        </w:rPr>
      </w:pPr>
    </w:p>
    <w:p>
      <w:pPr>
        <w:snapToGrid w:val="0"/>
        <w:spacing w:before="480"/>
        <w:ind w:right="360"/>
        <w:jc w:val="center"/>
        <w:outlineLvl w:val="0"/>
        <w:rPr>
          <w:rFonts w:hint="default" w:ascii="宋体"/>
          <w:b/>
          <w:sz w:val="56"/>
        </w:rPr>
      </w:pPr>
      <w:r>
        <w:rPr>
          <w:rFonts w:hint="eastAsia" w:ascii="宋体"/>
          <w:b/>
          <w:sz w:val="56"/>
        </w:rPr>
        <w:t xml:space="preserve"> </w:t>
      </w:r>
    </w:p>
    <w:p>
      <w:pPr>
        <w:snapToGrid w:val="0"/>
        <w:spacing w:before="480"/>
        <w:ind w:right="-74"/>
        <w:jc w:val="both"/>
        <w:outlineLvl w:val="0"/>
        <w:rPr>
          <w:rFonts w:hint="default" w:ascii="宋体"/>
          <w:b/>
          <w:sz w:val="56"/>
        </w:rPr>
      </w:pPr>
    </w:p>
    <w:p>
      <w:pPr>
        <w:snapToGrid w:val="0"/>
        <w:spacing w:before="480"/>
        <w:ind w:right="-74"/>
        <w:jc w:val="center"/>
        <w:outlineLvl w:val="0"/>
        <w:rPr>
          <w:rFonts w:hint="eastAsia" w:ascii="宋体"/>
          <w:b/>
          <w:sz w:val="32"/>
          <w:lang w:eastAsia="zh-CN"/>
        </w:rPr>
      </w:pPr>
      <w:r>
        <w:rPr>
          <w:rFonts w:hint="eastAsia" w:ascii="宋体"/>
          <w:b/>
          <w:sz w:val="32"/>
        </w:rPr>
        <w:t>辽宁</w:t>
      </w:r>
      <w:r>
        <w:rPr>
          <w:rFonts w:hint="eastAsia" w:ascii="宋体"/>
          <w:b/>
          <w:sz w:val="32"/>
          <w:lang w:eastAsia="zh-CN"/>
        </w:rPr>
        <w:t>艺林瀚海价格评估有限公司</w:t>
      </w:r>
    </w:p>
    <w:p>
      <w:pPr>
        <w:snapToGrid w:val="0"/>
        <w:spacing w:before="480"/>
        <w:ind w:right="-74"/>
        <w:jc w:val="center"/>
        <w:outlineLvl w:val="0"/>
        <w:rPr>
          <w:rFonts w:hint="eastAsia" w:ascii="宋体"/>
          <w:b/>
          <w:sz w:val="32"/>
        </w:rPr>
      </w:pPr>
      <w:r>
        <w:rPr>
          <w:rFonts w:hint="eastAsia" w:ascii="宋体"/>
          <w:b/>
          <w:sz w:val="32"/>
        </w:rPr>
        <w:t>二〇二〇年</w:t>
      </w:r>
      <w:r>
        <w:rPr>
          <w:rFonts w:hint="eastAsia" w:ascii="宋体"/>
          <w:b/>
          <w:sz w:val="32"/>
          <w:lang w:eastAsia="zh-CN"/>
        </w:rPr>
        <w:t>二月二十八</w:t>
      </w:r>
      <w:r>
        <w:rPr>
          <w:rFonts w:hint="eastAsia" w:ascii="宋体"/>
          <w:b/>
          <w:sz w:val="32"/>
        </w:rPr>
        <w:t>日</w:t>
      </w:r>
    </w:p>
    <w:p>
      <w:pPr>
        <w:tabs>
          <w:tab w:val="left" w:pos="0"/>
        </w:tabs>
        <w:snapToGrid w:val="0"/>
        <w:spacing w:before="480"/>
        <w:ind w:hanging="540"/>
        <w:jc w:val="center"/>
        <w:outlineLvl w:val="0"/>
        <w:rPr>
          <w:rFonts w:hint="eastAsia" w:ascii="宋体" w:hAnsi="宋体"/>
          <w:b/>
          <w:color w:val="FF0000"/>
          <w:spacing w:val="-50"/>
          <w:kern w:val="10"/>
          <w:sz w:val="72"/>
          <w:szCs w:val="72"/>
        </w:rPr>
        <w:sectPr>
          <w:type w:val="continuous"/>
          <w:pgSz w:w="11906" w:h="16838"/>
          <w:pgMar w:top="1440" w:right="1800" w:bottom="1440" w:left="1800" w:header="851" w:footer="992" w:gutter="0"/>
          <w:pgNumType w:fmt="numberInDash" w:start="0"/>
          <w:cols w:space="720" w:num="1"/>
          <w:titlePg/>
          <w:docGrid w:type="lines" w:linePitch="312" w:charSpace="0"/>
        </w:sectPr>
      </w:pPr>
    </w:p>
    <w:p>
      <w:pPr>
        <w:adjustRightInd w:val="0"/>
        <w:snapToGrid w:val="0"/>
        <w:jc w:val="center"/>
        <w:outlineLvl w:val="0"/>
        <w:rPr>
          <w:rFonts w:hint="default" w:ascii="宋体"/>
          <w:b/>
          <w:sz w:val="40"/>
        </w:rPr>
      </w:pPr>
    </w:p>
    <w:p>
      <w:pPr>
        <w:tabs>
          <w:tab w:val="left" w:pos="1171"/>
        </w:tabs>
        <w:adjustRightInd w:val="0"/>
        <w:snapToGrid w:val="0"/>
        <w:spacing w:before="120" w:beforeLines="50" w:after="240" w:afterLines="100" w:line="360" w:lineRule="auto"/>
        <w:ind w:left="1174" w:hanging="573"/>
        <w:jc w:val="center"/>
        <w:rPr>
          <w:rFonts w:hint="eastAsia" w:ascii="宋体" w:hAnsi="宋体" w:cs="宋体"/>
          <w:b/>
          <w:sz w:val="32"/>
          <w:szCs w:val="32"/>
        </w:rPr>
        <w:sectPr>
          <w:footerReference r:id="rId3" w:type="default"/>
          <w:type w:val="continuous"/>
          <w:pgSz w:w="11906" w:h="16838"/>
          <w:pgMar w:top="1440" w:right="1800" w:bottom="1440" w:left="1800" w:header="851" w:footer="992" w:gutter="0"/>
          <w:pgNumType w:fmt="numberInDash" w:start="0"/>
          <w:cols w:space="720" w:num="1"/>
          <w:titlePg/>
          <w:docGrid w:type="lines" w:linePitch="312" w:charSpace="0"/>
        </w:sectPr>
      </w:pPr>
    </w:p>
    <w:p>
      <w:pPr>
        <w:tabs>
          <w:tab w:val="left" w:pos="1171"/>
        </w:tabs>
        <w:adjustRightInd w:val="0"/>
        <w:snapToGrid w:val="0"/>
        <w:spacing w:before="120" w:beforeLines="50" w:after="240" w:afterLines="100" w:line="360" w:lineRule="auto"/>
        <w:ind w:left="1174" w:hanging="573"/>
        <w:jc w:val="center"/>
        <w:rPr>
          <w:rFonts w:hint="eastAsia" w:ascii="宋体" w:hAnsi="宋体" w:cs="宋体"/>
          <w:b/>
          <w:sz w:val="32"/>
          <w:szCs w:val="32"/>
        </w:rPr>
      </w:pPr>
      <w:r>
        <w:rPr>
          <w:rFonts w:hint="eastAsia" w:ascii="宋体" w:hAnsi="宋体" w:cs="宋体"/>
          <w:b/>
          <w:sz w:val="32"/>
          <w:szCs w:val="32"/>
        </w:rPr>
        <w:t>摘      要</w:t>
      </w:r>
    </w:p>
    <w:p>
      <w:pPr>
        <w:adjustRightInd w:val="0"/>
        <w:snapToGrid w:val="0"/>
        <w:spacing w:before="240" w:beforeLines="100" w:line="360" w:lineRule="auto"/>
        <w:ind w:firstLine="601"/>
        <w:jc w:val="left"/>
        <w:rPr>
          <w:rFonts w:hint="eastAsia" w:ascii="宋体" w:hAnsi="宋体" w:cs="宋体"/>
          <w:color w:val="000000"/>
          <w:sz w:val="28"/>
        </w:rPr>
      </w:pPr>
      <w:r>
        <w:rPr>
          <w:rFonts w:hint="eastAsia" w:ascii="宋体" w:hAnsi="宋体" w:cs="宋体"/>
          <w:color w:val="000000"/>
          <w:sz w:val="28"/>
          <w:lang w:eastAsia="zh-CN"/>
        </w:rPr>
        <w:t>辽宁艺林瀚海</w:t>
      </w:r>
      <w:r>
        <w:rPr>
          <w:rFonts w:hint="eastAsia" w:ascii="宋体" w:hAnsi="宋体" w:cs="宋体"/>
          <w:color w:val="000000"/>
          <w:sz w:val="28"/>
        </w:rPr>
        <w:t>价格评估有限公司接受</w:t>
      </w:r>
      <w:r>
        <w:rPr>
          <w:rFonts w:hint="eastAsia" w:ascii="宋体" w:hAnsi="宋体" w:cs="宋体"/>
          <w:color w:val="000000"/>
          <w:sz w:val="28"/>
          <w:lang w:eastAsia="zh-CN"/>
        </w:rPr>
        <w:t>沈阳市中级</w:t>
      </w:r>
      <w:r>
        <w:rPr>
          <w:rFonts w:hint="eastAsia" w:ascii="宋体" w:hAnsi="宋体" w:cs="宋体"/>
          <w:color w:val="000000"/>
          <w:sz w:val="28"/>
        </w:rPr>
        <w:t>人民法院的委托，依法</w:t>
      </w:r>
      <w:r>
        <w:rPr>
          <w:rFonts w:hint="eastAsia" w:ascii="宋体" w:hAnsi="宋体" w:cs="宋体"/>
          <w:color w:val="000000"/>
          <w:sz w:val="28"/>
          <w:lang w:eastAsia="zh-CN"/>
        </w:rPr>
        <w:t>对</w:t>
      </w:r>
      <w:r>
        <w:rPr>
          <w:rFonts w:hint="eastAsia" w:ascii="宋体"/>
          <w:b/>
          <w:sz w:val="32"/>
          <w:szCs w:val="32"/>
          <w:lang w:eastAsia="zh-CN"/>
        </w:rPr>
        <w:t>（</w:t>
      </w:r>
      <w:r>
        <w:rPr>
          <w:rFonts w:hint="eastAsia" w:ascii="宋体"/>
          <w:b/>
          <w:sz w:val="32"/>
          <w:szCs w:val="32"/>
          <w:lang w:val="en-US" w:eastAsia="zh-CN"/>
        </w:rPr>
        <w:t>2019</w:t>
      </w:r>
      <w:r>
        <w:rPr>
          <w:rFonts w:hint="eastAsia" w:ascii="宋体"/>
          <w:b/>
          <w:sz w:val="32"/>
          <w:szCs w:val="32"/>
          <w:lang w:eastAsia="zh-CN"/>
        </w:rPr>
        <w:t>）辽</w:t>
      </w:r>
      <w:r>
        <w:rPr>
          <w:rFonts w:hint="eastAsia" w:ascii="宋体"/>
          <w:b/>
          <w:sz w:val="32"/>
          <w:szCs w:val="32"/>
          <w:lang w:val="en-US" w:eastAsia="zh-CN"/>
        </w:rPr>
        <w:t>01执1389号</w:t>
      </w:r>
      <w:r>
        <w:rPr>
          <w:rFonts w:hint="eastAsia" w:ascii="宋体" w:hAnsi="宋体" w:cs="宋体"/>
          <w:color w:val="000000"/>
          <w:sz w:val="28"/>
        </w:rPr>
        <w:t>案件涉及的</w:t>
      </w:r>
      <w:r>
        <w:rPr>
          <w:rFonts w:hint="eastAsia" w:ascii="宋体" w:hAnsi="宋体" w:cs="宋体"/>
          <w:color w:val="000000"/>
          <w:sz w:val="28"/>
          <w:lang w:eastAsia="zh-CN"/>
        </w:rPr>
        <w:t>被执行人所有的动产进行了价格评估</w:t>
      </w:r>
      <w:r>
        <w:rPr>
          <w:rFonts w:hint="eastAsia" w:ascii="宋体" w:hAnsi="宋体" w:cs="宋体"/>
          <w:color w:val="000000"/>
          <w:sz w:val="28"/>
        </w:rPr>
        <w:t>。</w:t>
      </w:r>
    </w:p>
    <w:p>
      <w:pPr>
        <w:adjustRightInd w:val="0"/>
        <w:snapToGrid w:val="0"/>
        <w:spacing w:before="240" w:beforeLines="100" w:line="360" w:lineRule="auto"/>
        <w:ind w:firstLine="560" w:firstLineChars="200"/>
        <w:jc w:val="left"/>
        <w:rPr>
          <w:rFonts w:hint="eastAsia" w:ascii="宋体" w:hAnsi="宋体"/>
          <w:sz w:val="28"/>
        </w:rPr>
      </w:pPr>
      <w:r>
        <w:rPr>
          <w:rFonts w:hint="eastAsia" w:ascii="宋体" w:hAnsi="宋体" w:cs="宋体"/>
          <w:color w:val="000000"/>
          <w:sz w:val="28"/>
        </w:rPr>
        <w:t>价格评估标的：</w:t>
      </w:r>
      <w:r>
        <w:rPr>
          <w:rFonts w:hint="eastAsia" w:ascii="宋体" w:hAnsi="宋体" w:cs="宋体"/>
          <w:color w:val="000000"/>
          <w:sz w:val="28"/>
          <w:lang w:eastAsia="zh-CN"/>
        </w:rPr>
        <w:t>被执行人所有的动产</w:t>
      </w:r>
      <w:r>
        <w:rPr>
          <w:rFonts w:hint="eastAsia" w:ascii="宋体" w:hAnsi="宋体"/>
          <w:sz w:val="28"/>
          <w:lang w:eastAsia="zh-CN"/>
        </w:rPr>
        <w:t>。</w:t>
      </w:r>
    </w:p>
    <w:p>
      <w:pPr>
        <w:adjustRightInd w:val="0"/>
        <w:snapToGrid w:val="0"/>
        <w:spacing w:before="240" w:beforeLines="100" w:line="360" w:lineRule="auto"/>
        <w:ind w:firstLine="560" w:firstLineChars="200"/>
        <w:jc w:val="left"/>
        <w:rPr>
          <w:rFonts w:hint="eastAsia" w:ascii="宋体" w:hAnsi="宋体" w:cs="宋体"/>
          <w:color w:val="000000"/>
          <w:sz w:val="28"/>
        </w:rPr>
      </w:pPr>
      <w:r>
        <w:rPr>
          <w:rFonts w:hint="eastAsia" w:ascii="宋体" w:hAnsi="宋体" w:cs="宋体"/>
          <w:color w:val="000000"/>
          <w:sz w:val="28"/>
        </w:rPr>
        <w:t>价格评估目的：确定价格评估标的在价格评估基准日的价格，为</w:t>
      </w:r>
      <w:r>
        <w:rPr>
          <w:rFonts w:hint="eastAsia" w:ascii="宋体" w:hAnsi="宋体" w:cs="宋体"/>
          <w:color w:val="000000"/>
          <w:sz w:val="28"/>
          <w:lang w:eastAsia="zh-CN"/>
        </w:rPr>
        <w:t>委托方</w:t>
      </w:r>
      <w:r>
        <w:rPr>
          <w:rFonts w:hint="eastAsia" w:ascii="宋体" w:hAnsi="宋体" w:cs="宋体"/>
          <w:color w:val="000000"/>
          <w:sz w:val="28"/>
        </w:rPr>
        <w:t>提供价格参考。</w:t>
      </w:r>
    </w:p>
    <w:p>
      <w:pPr>
        <w:adjustRightInd w:val="0"/>
        <w:snapToGrid w:val="0"/>
        <w:spacing w:before="240" w:beforeLines="100" w:line="360" w:lineRule="auto"/>
        <w:ind w:firstLine="560" w:firstLineChars="200"/>
        <w:jc w:val="left"/>
        <w:rPr>
          <w:rFonts w:hint="eastAsia" w:ascii="宋体" w:hAnsi="宋体" w:cs="宋体"/>
          <w:color w:val="000000"/>
          <w:sz w:val="28"/>
        </w:rPr>
      </w:pPr>
      <w:r>
        <w:rPr>
          <w:rFonts w:hint="eastAsia" w:ascii="宋体" w:hAnsi="宋体" w:cs="宋体"/>
          <w:color w:val="000000"/>
          <w:sz w:val="28"/>
        </w:rPr>
        <w:t>价格评估基准日：</w:t>
      </w:r>
      <w:r>
        <w:rPr>
          <w:rFonts w:hint="eastAsia" w:ascii="宋体" w:hAnsi="宋体" w:cs="宋体"/>
          <w:color w:val="000000"/>
          <w:sz w:val="28"/>
          <w:highlight w:val="none"/>
        </w:rPr>
        <w:t>20</w:t>
      </w:r>
      <w:r>
        <w:rPr>
          <w:rFonts w:hint="eastAsia" w:ascii="宋体" w:hAnsi="宋体" w:cs="宋体"/>
          <w:color w:val="000000"/>
          <w:sz w:val="28"/>
          <w:highlight w:val="none"/>
          <w:lang w:val="en-US" w:eastAsia="zh-CN"/>
        </w:rPr>
        <w:t>19</w:t>
      </w:r>
      <w:r>
        <w:rPr>
          <w:rFonts w:hint="eastAsia" w:ascii="宋体" w:hAnsi="宋体" w:cs="宋体"/>
          <w:color w:val="000000"/>
          <w:sz w:val="28"/>
          <w:highlight w:val="none"/>
        </w:rPr>
        <w:t>年</w:t>
      </w:r>
      <w:r>
        <w:rPr>
          <w:rFonts w:hint="eastAsia" w:ascii="宋体" w:hAnsi="宋体" w:cs="宋体"/>
          <w:color w:val="000000"/>
          <w:sz w:val="28"/>
          <w:highlight w:val="none"/>
          <w:lang w:val="en-US" w:eastAsia="zh-CN"/>
        </w:rPr>
        <w:t>12</w:t>
      </w:r>
      <w:r>
        <w:rPr>
          <w:rFonts w:hint="eastAsia" w:ascii="宋体" w:hAnsi="宋体" w:cs="宋体"/>
          <w:color w:val="000000"/>
          <w:sz w:val="28"/>
          <w:highlight w:val="none"/>
        </w:rPr>
        <w:t>月</w:t>
      </w:r>
      <w:r>
        <w:rPr>
          <w:rFonts w:hint="eastAsia" w:ascii="宋体" w:hAnsi="宋体" w:cs="宋体"/>
          <w:color w:val="000000"/>
          <w:sz w:val="28"/>
        </w:rPr>
        <w:t>。</w:t>
      </w:r>
    </w:p>
    <w:p>
      <w:pPr>
        <w:adjustRightInd w:val="0"/>
        <w:snapToGrid w:val="0"/>
        <w:spacing w:before="240" w:beforeLines="100" w:line="360" w:lineRule="auto"/>
        <w:ind w:firstLine="560" w:firstLineChars="200"/>
        <w:jc w:val="left"/>
        <w:rPr>
          <w:rFonts w:hint="eastAsia" w:ascii="宋体" w:hAnsi="宋体" w:cs="宋体"/>
          <w:color w:val="000000"/>
          <w:spacing w:val="-14"/>
          <w:sz w:val="28"/>
        </w:rPr>
      </w:pPr>
      <w:r>
        <w:rPr>
          <w:rFonts w:hint="eastAsia" w:ascii="宋体" w:hAnsi="宋体" w:cs="宋体"/>
          <w:color w:val="000000"/>
          <w:sz w:val="28"/>
        </w:rPr>
        <w:t>价格定义：价格评估标的在价格评估基准日，</w:t>
      </w:r>
      <w:r>
        <w:rPr>
          <w:rFonts w:hint="eastAsia" w:ascii="宋体" w:hAnsi="宋体" w:cs="宋体"/>
          <w:sz w:val="28"/>
          <w:szCs w:val="28"/>
        </w:rPr>
        <w:t>依据国家有关部门文件规定，</w:t>
      </w:r>
      <w:r>
        <w:rPr>
          <w:rFonts w:hint="eastAsia" w:ascii="宋体" w:hAnsi="宋体" w:cs="宋体"/>
          <w:color w:val="000000"/>
          <w:sz w:val="28"/>
        </w:rPr>
        <w:t>采用公开市场价值标准确定的客观合理的价格</w:t>
      </w:r>
      <w:r>
        <w:rPr>
          <w:rFonts w:hint="eastAsia" w:ascii="宋体" w:hAnsi="宋体" w:cs="宋体"/>
          <w:spacing w:val="-14"/>
          <w:sz w:val="28"/>
          <w:szCs w:val="28"/>
        </w:rPr>
        <w:t>。</w:t>
      </w:r>
    </w:p>
    <w:p>
      <w:pPr>
        <w:adjustRightInd w:val="0"/>
        <w:snapToGrid w:val="0"/>
        <w:spacing w:before="240" w:beforeLines="100" w:line="360" w:lineRule="auto"/>
        <w:ind w:firstLine="560" w:firstLineChars="200"/>
        <w:jc w:val="left"/>
        <w:rPr>
          <w:rFonts w:hint="eastAsia" w:ascii="宋体" w:hAnsi="宋体"/>
          <w:sz w:val="28"/>
        </w:rPr>
      </w:pPr>
      <w:r>
        <w:rPr>
          <w:rFonts w:hint="eastAsia" w:ascii="宋体" w:hAnsi="宋体"/>
          <w:sz w:val="28"/>
        </w:rPr>
        <w:t>价格评估方法：市场比较法</w:t>
      </w:r>
      <w:r>
        <w:rPr>
          <w:rFonts w:hint="eastAsia" w:ascii="宋体" w:hAnsi="宋体"/>
          <w:sz w:val="28"/>
          <w:lang w:eastAsia="zh-CN"/>
        </w:rPr>
        <w:t>、专家咨询法</w:t>
      </w:r>
      <w:r>
        <w:rPr>
          <w:rFonts w:hint="eastAsia" w:ascii="宋体" w:hAnsi="宋体"/>
          <w:sz w:val="28"/>
        </w:rPr>
        <w:t>。</w:t>
      </w:r>
    </w:p>
    <w:p>
      <w:pPr>
        <w:adjustRightInd w:val="0"/>
        <w:snapToGrid w:val="0"/>
        <w:spacing w:before="240" w:beforeLines="100" w:line="360" w:lineRule="auto"/>
        <w:ind w:firstLine="560" w:firstLineChars="200"/>
        <w:jc w:val="left"/>
        <w:rPr>
          <w:rFonts w:hint="eastAsia" w:ascii="宋体" w:hAnsi="宋体"/>
          <w:b/>
          <w:sz w:val="28"/>
          <w:highlight w:val="yellow"/>
        </w:rPr>
      </w:pPr>
      <w:r>
        <w:rPr>
          <w:rFonts w:hint="eastAsia" w:ascii="宋体" w:hAnsi="宋体"/>
          <w:sz w:val="28"/>
        </w:rPr>
        <w:t xml:space="preserve">价格评估结论：价格评估标的在价格评估基准日的价格为 ：  </w:t>
      </w:r>
      <w:r>
        <w:rPr>
          <w:rFonts w:hint="eastAsia" w:ascii="宋体" w:hAnsi="宋体"/>
          <w:b/>
          <w:bCs/>
          <w:sz w:val="28"/>
          <w:szCs w:val="28"/>
          <w:highlight w:val="none"/>
        </w:rPr>
        <w:t>￥</w:t>
      </w:r>
      <w:r>
        <w:rPr>
          <w:rFonts w:hint="eastAsia" w:ascii="宋体" w:hAnsi="宋体"/>
          <w:b/>
          <w:bCs/>
          <w:sz w:val="28"/>
          <w:szCs w:val="28"/>
          <w:highlight w:val="none"/>
          <w:lang w:val="en-US" w:eastAsia="zh-CN"/>
        </w:rPr>
        <w:t>254,410</w:t>
      </w:r>
      <w:r>
        <w:rPr>
          <w:rFonts w:hint="eastAsia" w:ascii="宋体" w:hAnsi="宋体"/>
          <w:b/>
          <w:bCs/>
          <w:sz w:val="28"/>
          <w:szCs w:val="28"/>
          <w:highlight w:val="none"/>
        </w:rPr>
        <w:t>.</w:t>
      </w:r>
      <w:r>
        <w:rPr>
          <w:rFonts w:hint="eastAsia" w:ascii="宋体" w:hAnsi="宋体"/>
          <w:b/>
          <w:bCs/>
          <w:sz w:val="28"/>
          <w:szCs w:val="28"/>
          <w:highlight w:val="none"/>
          <w:lang w:val="en-US" w:eastAsia="zh-CN"/>
        </w:rPr>
        <w:t>00元（人民币</w:t>
      </w:r>
      <w:r>
        <w:rPr>
          <w:rFonts w:hint="eastAsia"/>
          <w:b/>
          <w:bCs/>
          <w:sz w:val="28"/>
          <w:szCs w:val="28"/>
          <w:highlight w:val="none"/>
          <w:lang w:eastAsia="zh-CN"/>
        </w:rPr>
        <w:t>贰拾伍万肆仟肆佰壹拾元整</w:t>
      </w:r>
      <w:r>
        <w:rPr>
          <w:rFonts w:hint="eastAsia" w:ascii="宋体" w:hAnsi="宋体"/>
          <w:b/>
          <w:bCs/>
          <w:sz w:val="28"/>
          <w:szCs w:val="28"/>
          <w:highlight w:val="none"/>
          <w:lang w:val="en-US" w:eastAsia="zh-CN"/>
        </w:rPr>
        <w:t>）</w:t>
      </w:r>
      <w:r>
        <w:rPr>
          <w:rFonts w:hint="eastAsia" w:ascii="宋体" w:hAnsi="宋体"/>
          <w:sz w:val="28"/>
          <w:szCs w:val="28"/>
          <w:highlight w:val="none"/>
          <w:lang w:val="en-US" w:eastAsia="zh-CN"/>
        </w:rPr>
        <w:t>。</w:t>
      </w:r>
    </w:p>
    <w:p>
      <w:pPr>
        <w:adjustRightInd w:val="0"/>
        <w:snapToGrid w:val="0"/>
        <w:spacing w:before="240" w:beforeLines="100" w:line="360" w:lineRule="auto"/>
        <w:ind w:firstLine="601"/>
        <w:jc w:val="left"/>
        <w:rPr>
          <w:rFonts w:hint="eastAsia" w:ascii="宋体" w:hAnsi="宋体" w:cs="宋体"/>
          <w:color w:val="000000"/>
          <w:sz w:val="28"/>
        </w:rPr>
      </w:pPr>
      <w:r>
        <w:rPr>
          <w:rFonts w:hint="eastAsia" w:ascii="宋体" w:hAnsi="宋体" w:cs="宋体"/>
          <w:color w:val="000000"/>
          <w:sz w:val="28"/>
        </w:rPr>
        <w:t>评估报告只能用于评估报告载明的评估目的和用途。</w:t>
      </w:r>
    </w:p>
    <w:p>
      <w:pPr>
        <w:adjustRightInd w:val="0"/>
        <w:snapToGrid w:val="0"/>
        <w:spacing w:before="240" w:beforeLines="100" w:line="360" w:lineRule="auto"/>
        <w:ind w:firstLine="601"/>
        <w:jc w:val="left"/>
        <w:rPr>
          <w:rFonts w:hint="eastAsia" w:ascii="宋体" w:hAnsi="宋体" w:cs="宋体"/>
          <w:color w:val="000000"/>
          <w:sz w:val="28"/>
        </w:rPr>
      </w:pPr>
      <w:r>
        <w:rPr>
          <w:rFonts w:hint="eastAsia" w:ascii="宋体" w:hAnsi="宋体" w:cs="宋体"/>
          <w:color w:val="000000"/>
          <w:sz w:val="28"/>
        </w:rPr>
        <w:t>以上内容摘自评估</w:t>
      </w:r>
      <w:r>
        <w:rPr>
          <w:rFonts w:hint="eastAsia" w:ascii="宋体" w:hAnsi="宋体" w:cs="宋体"/>
          <w:color w:val="000000"/>
          <w:sz w:val="28"/>
          <w:lang w:eastAsia="zh-CN"/>
        </w:rPr>
        <w:t>报告</w:t>
      </w:r>
      <w:r>
        <w:rPr>
          <w:rFonts w:hint="eastAsia" w:ascii="宋体" w:hAnsi="宋体" w:cs="宋体"/>
          <w:color w:val="000000"/>
          <w:sz w:val="28"/>
        </w:rPr>
        <w:t>正文。</w:t>
      </w:r>
    </w:p>
    <w:p>
      <w:pPr>
        <w:adjustRightInd w:val="0"/>
        <w:snapToGrid w:val="0"/>
        <w:spacing w:before="240" w:beforeLines="100" w:line="360" w:lineRule="auto"/>
        <w:ind w:firstLine="601"/>
        <w:jc w:val="left"/>
        <w:rPr>
          <w:rFonts w:hint="eastAsia" w:ascii="宋体" w:hAnsi="宋体" w:cs="宋体"/>
          <w:color w:val="000000"/>
          <w:sz w:val="28"/>
        </w:rPr>
      </w:pPr>
    </w:p>
    <w:p>
      <w:pPr>
        <w:snapToGrid w:val="0"/>
        <w:spacing w:before="360" w:line="336" w:lineRule="auto"/>
        <w:ind w:right="-74"/>
        <w:jc w:val="center"/>
        <w:outlineLvl w:val="0"/>
        <w:rPr>
          <w:rFonts w:hint="eastAsia" w:ascii="宋体"/>
          <w:b/>
          <w:sz w:val="48"/>
        </w:rPr>
      </w:pPr>
    </w:p>
    <w:p>
      <w:pPr>
        <w:snapToGrid w:val="0"/>
        <w:spacing w:before="360" w:line="336" w:lineRule="auto"/>
        <w:ind w:right="-74"/>
        <w:jc w:val="center"/>
        <w:outlineLvl w:val="0"/>
        <w:rPr>
          <w:rFonts w:hint="eastAsia" w:ascii="宋体"/>
          <w:b/>
          <w:sz w:val="44"/>
          <w:szCs w:val="44"/>
        </w:rPr>
        <w:sectPr>
          <w:footerReference r:id="rId5" w:type="first"/>
          <w:footerReference r:id="rId4" w:type="default"/>
          <w:pgSz w:w="11906" w:h="16838"/>
          <w:pgMar w:top="1440" w:right="1800" w:bottom="1440" w:left="1800" w:header="851" w:footer="992" w:gutter="0"/>
          <w:pgNumType w:fmt="numberInDash" w:start="0"/>
          <w:cols w:space="720" w:num="1"/>
          <w:titlePg/>
          <w:docGrid w:type="lines" w:linePitch="312" w:charSpace="0"/>
        </w:sectPr>
      </w:pPr>
    </w:p>
    <w:p>
      <w:pPr>
        <w:snapToGrid w:val="0"/>
        <w:spacing w:before="360" w:line="336" w:lineRule="auto"/>
        <w:ind w:right="-74"/>
        <w:jc w:val="center"/>
        <w:outlineLvl w:val="0"/>
        <w:rPr>
          <w:rFonts w:hint="eastAsia" w:ascii="宋体"/>
          <w:b/>
          <w:sz w:val="44"/>
          <w:szCs w:val="44"/>
        </w:rPr>
      </w:pPr>
      <w:r>
        <w:rPr>
          <w:rFonts w:hint="eastAsia" w:ascii="宋体"/>
          <w:b/>
          <w:sz w:val="44"/>
          <w:szCs w:val="44"/>
        </w:rPr>
        <w:t>目     录</w:t>
      </w:r>
    </w:p>
    <w:p>
      <w:pPr>
        <w:tabs>
          <w:tab w:val="right" w:pos="8640"/>
        </w:tabs>
        <w:snapToGrid w:val="0"/>
        <w:spacing w:before="360" w:line="300" w:lineRule="exact"/>
        <w:ind w:left="720" w:right="-74"/>
        <w:outlineLvl w:val="0"/>
        <w:rPr>
          <w:rFonts w:hint="eastAsia" w:ascii="宋体"/>
          <w:b/>
          <w:sz w:val="24"/>
          <w:szCs w:val="24"/>
        </w:rPr>
      </w:pPr>
      <w:r>
        <w:rPr>
          <w:rFonts w:hint="eastAsia" w:ascii="宋体"/>
          <w:b/>
          <w:sz w:val="24"/>
          <w:szCs w:val="24"/>
        </w:rPr>
        <w:t>一、价格评估标的………………………………………………1</w:t>
      </w:r>
    </w:p>
    <w:p>
      <w:pPr>
        <w:tabs>
          <w:tab w:val="right" w:pos="8640"/>
        </w:tabs>
        <w:snapToGrid w:val="0"/>
        <w:spacing w:before="360" w:line="300" w:lineRule="exact"/>
        <w:ind w:left="720" w:right="-74"/>
        <w:outlineLvl w:val="0"/>
        <w:rPr>
          <w:rFonts w:hint="eastAsia" w:ascii="宋体"/>
          <w:b/>
          <w:sz w:val="24"/>
          <w:szCs w:val="24"/>
        </w:rPr>
      </w:pPr>
      <w:r>
        <w:rPr>
          <w:rFonts w:hint="eastAsia" w:ascii="宋体"/>
          <w:b/>
          <w:sz w:val="24"/>
          <w:szCs w:val="24"/>
        </w:rPr>
        <w:t>二、价格评估目的………………………………………………1</w:t>
      </w:r>
    </w:p>
    <w:p>
      <w:pPr>
        <w:tabs>
          <w:tab w:val="right" w:pos="8640"/>
        </w:tabs>
        <w:snapToGrid w:val="0"/>
        <w:spacing w:before="360" w:line="300" w:lineRule="exact"/>
        <w:ind w:left="720" w:right="-74"/>
        <w:outlineLvl w:val="0"/>
        <w:rPr>
          <w:rFonts w:hint="eastAsia" w:ascii="宋体"/>
          <w:b/>
          <w:sz w:val="24"/>
          <w:szCs w:val="24"/>
        </w:rPr>
      </w:pPr>
      <w:r>
        <w:rPr>
          <w:rFonts w:hint="eastAsia" w:ascii="宋体"/>
          <w:b/>
          <w:sz w:val="24"/>
          <w:szCs w:val="24"/>
        </w:rPr>
        <w:t>三、价格评估基准日……………………………………………1</w:t>
      </w:r>
    </w:p>
    <w:p>
      <w:pPr>
        <w:tabs>
          <w:tab w:val="right" w:pos="8640"/>
        </w:tabs>
        <w:snapToGrid w:val="0"/>
        <w:spacing w:before="360" w:line="300" w:lineRule="exact"/>
        <w:ind w:left="720" w:right="-74"/>
        <w:outlineLvl w:val="0"/>
        <w:rPr>
          <w:rFonts w:hint="eastAsia" w:ascii="宋体" w:eastAsia="宋体"/>
          <w:b/>
          <w:sz w:val="24"/>
          <w:szCs w:val="24"/>
          <w:lang w:eastAsia="zh-CN"/>
        </w:rPr>
      </w:pPr>
      <w:r>
        <w:rPr>
          <w:rFonts w:hint="eastAsia" w:ascii="宋体"/>
          <w:b/>
          <w:sz w:val="24"/>
          <w:szCs w:val="24"/>
        </w:rPr>
        <w:t>四、价格定义……………………………………………………</w:t>
      </w:r>
      <w:r>
        <w:rPr>
          <w:rFonts w:hint="eastAsia" w:ascii="宋体"/>
          <w:b/>
          <w:sz w:val="24"/>
          <w:szCs w:val="24"/>
          <w:lang w:val="en-US" w:eastAsia="zh-CN"/>
        </w:rPr>
        <w:t>1</w:t>
      </w:r>
    </w:p>
    <w:p>
      <w:pPr>
        <w:tabs>
          <w:tab w:val="right" w:pos="8640"/>
        </w:tabs>
        <w:snapToGrid w:val="0"/>
        <w:spacing w:before="360" w:line="300" w:lineRule="exact"/>
        <w:ind w:left="720" w:right="-74"/>
        <w:outlineLvl w:val="0"/>
        <w:rPr>
          <w:rFonts w:hint="eastAsia" w:ascii="宋体"/>
          <w:b/>
          <w:sz w:val="24"/>
          <w:szCs w:val="24"/>
        </w:rPr>
      </w:pPr>
      <w:r>
        <w:rPr>
          <w:rFonts w:hint="eastAsia" w:ascii="宋体"/>
          <w:b/>
          <w:sz w:val="24"/>
          <w:szCs w:val="24"/>
        </w:rPr>
        <w:t>五、价格评估依据………………………………………………2</w:t>
      </w:r>
    </w:p>
    <w:p>
      <w:pPr>
        <w:tabs>
          <w:tab w:val="right" w:pos="8640"/>
        </w:tabs>
        <w:snapToGrid w:val="0"/>
        <w:spacing w:before="360" w:line="300" w:lineRule="exact"/>
        <w:ind w:left="720" w:right="-74"/>
        <w:outlineLvl w:val="0"/>
        <w:rPr>
          <w:rFonts w:hint="eastAsia" w:ascii="宋体" w:eastAsia="宋体"/>
          <w:b/>
          <w:sz w:val="24"/>
          <w:szCs w:val="24"/>
          <w:lang w:eastAsia="zh-CN"/>
        </w:rPr>
      </w:pPr>
      <w:r>
        <w:rPr>
          <w:rFonts w:hint="eastAsia" w:ascii="宋体"/>
          <w:b/>
          <w:sz w:val="24"/>
          <w:szCs w:val="24"/>
        </w:rPr>
        <w:t>六、价格评估方法………………………………………………</w:t>
      </w:r>
      <w:r>
        <w:rPr>
          <w:rFonts w:hint="eastAsia" w:ascii="宋体"/>
          <w:b/>
          <w:sz w:val="24"/>
          <w:szCs w:val="24"/>
          <w:lang w:val="en-US" w:eastAsia="zh-CN"/>
        </w:rPr>
        <w:t>2</w:t>
      </w:r>
    </w:p>
    <w:p>
      <w:pPr>
        <w:tabs>
          <w:tab w:val="right" w:pos="8640"/>
        </w:tabs>
        <w:snapToGrid w:val="0"/>
        <w:spacing w:before="360" w:line="300" w:lineRule="exact"/>
        <w:ind w:left="720" w:right="-74"/>
        <w:outlineLvl w:val="0"/>
        <w:rPr>
          <w:rFonts w:hint="eastAsia" w:ascii="宋体" w:eastAsia="宋体"/>
          <w:b/>
          <w:sz w:val="24"/>
          <w:szCs w:val="24"/>
          <w:lang w:eastAsia="zh-CN"/>
        </w:rPr>
      </w:pPr>
      <w:r>
        <w:rPr>
          <w:rFonts w:hint="eastAsia" w:ascii="宋体"/>
          <w:b/>
          <w:sz w:val="24"/>
          <w:szCs w:val="24"/>
        </w:rPr>
        <w:t>七、价格评估过程………………………………………………</w:t>
      </w:r>
      <w:r>
        <w:rPr>
          <w:rFonts w:hint="eastAsia" w:ascii="宋体"/>
          <w:b/>
          <w:sz w:val="24"/>
          <w:szCs w:val="24"/>
          <w:lang w:val="en-US" w:eastAsia="zh-CN"/>
        </w:rPr>
        <w:t>2</w:t>
      </w:r>
    </w:p>
    <w:p>
      <w:pPr>
        <w:tabs>
          <w:tab w:val="right" w:pos="8640"/>
        </w:tabs>
        <w:snapToGrid w:val="0"/>
        <w:spacing w:before="360" w:line="300" w:lineRule="exact"/>
        <w:ind w:left="720" w:right="-74"/>
        <w:outlineLvl w:val="0"/>
        <w:rPr>
          <w:rFonts w:hint="eastAsia" w:ascii="宋体" w:eastAsia="宋体"/>
          <w:b/>
          <w:sz w:val="24"/>
          <w:szCs w:val="24"/>
          <w:lang w:eastAsia="zh-CN"/>
        </w:rPr>
      </w:pPr>
      <w:r>
        <w:rPr>
          <w:rFonts w:hint="eastAsia" w:ascii="宋体"/>
          <w:b/>
          <w:sz w:val="24"/>
          <w:szCs w:val="24"/>
        </w:rPr>
        <w:t>八、价格评估结论………………………………………………</w:t>
      </w:r>
      <w:r>
        <w:rPr>
          <w:rFonts w:hint="eastAsia" w:ascii="宋体"/>
          <w:b/>
          <w:sz w:val="24"/>
          <w:szCs w:val="24"/>
          <w:lang w:val="en-US" w:eastAsia="zh-CN"/>
        </w:rPr>
        <w:t>8</w:t>
      </w:r>
    </w:p>
    <w:p>
      <w:pPr>
        <w:tabs>
          <w:tab w:val="right" w:pos="8640"/>
        </w:tabs>
        <w:snapToGrid w:val="0"/>
        <w:spacing w:before="360" w:line="300" w:lineRule="exact"/>
        <w:ind w:left="720" w:right="-74"/>
        <w:outlineLvl w:val="0"/>
        <w:rPr>
          <w:rFonts w:hint="eastAsia" w:ascii="宋体" w:eastAsia="宋体"/>
          <w:b/>
          <w:sz w:val="24"/>
          <w:szCs w:val="24"/>
          <w:lang w:eastAsia="zh-CN"/>
        </w:rPr>
      </w:pPr>
      <w:r>
        <w:rPr>
          <w:rFonts w:hint="eastAsia" w:ascii="宋体"/>
          <w:b/>
          <w:sz w:val="24"/>
          <w:szCs w:val="24"/>
        </w:rPr>
        <w:t>九、价格评估限定条件…………………………………………</w:t>
      </w:r>
      <w:r>
        <w:rPr>
          <w:rFonts w:hint="eastAsia" w:ascii="宋体"/>
          <w:b/>
          <w:sz w:val="24"/>
          <w:szCs w:val="24"/>
          <w:lang w:val="en-US" w:eastAsia="zh-CN"/>
        </w:rPr>
        <w:t>8</w:t>
      </w:r>
    </w:p>
    <w:p>
      <w:pPr>
        <w:tabs>
          <w:tab w:val="right" w:pos="8640"/>
        </w:tabs>
        <w:snapToGrid w:val="0"/>
        <w:spacing w:before="360" w:line="300" w:lineRule="exact"/>
        <w:ind w:left="720" w:right="-74"/>
        <w:outlineLvl w:val="0"/>
        <w:rPr>
          <w:rFonts w:hint="eastAsia" w:ascii="宋体" w:eastAsia="宋体"/>
          <w:b/>
          <w:sz w:val="24"/>
          <w:szCs w:val="24"/>
          <w:lang w:eastAsia="zh-CN"/>
        </w:rPr>
      </w:pPr>
      <w:r>
        <w:rPr>
          <w:rFonts w:hint="eastAsia" w:ascii="宋体"/>
          <w:b/>
          <w:sz w:val="24"/>
          <w:szCs w:val="24"/>
        </w:rPr>
        <w:t>十、声明…………………………………………………………</w:t>
      </w:r>
      <w:r>
        <w:rPr>
          <w:rFonts w:hint="eastAsia" w:ascii="宋体"/>
          <w:b/>
          <w:sz w:val="24"/>
          <w:szCs w:val="24"/>
          <w:lang w:val="en-US" w:eastAsia="zh-CN"/>
        </w:rPr>
        <w:t>8</w:t>
      </w:r>
    </w:p>
    <w:p>
      <w:pPr>
        <w:tabs>
          <w:tab w:val="right" w:pos="8640"/>
        </w:tabs>
        <w:snapToGrid w:val="0"/>
        <w:spacing w:before="360" w:line="300" w:lineRule="exact"/>
        <w:ind w:left="720" w:right="-74"/>
        <w:outlineLvl w:val="0"/>
        <w:rPr>
          <w:rFonts w:hint="eastAsia" w:ascii="宋体" w:eastAsia="宋体"/>
          <w:b/>
          <w:sz w:val="24"/>
          <w:szCs w:val="24"/>
          <w:lang w:eastAsia="zh-CN"/>
        </w:rPr>
      </w:pPr>
      <w:r>
        <w:rPr>
          <w:rFonts w:hint="eastAsia" w:ascii="宋体"/>
          <w:b/>
          <w:sz w:val="24"/>
          <w:szCs w:val="24"/>
        </w:rPr>
        <w:t>十一、价格评估作业日期………………………………………</w:t>
      </w:r>
      <w:r>
        <w:rPr>
          <w:rFonts w:hint="eastAsia" w:ascii="宋体"/>
          <w:b/>
          <w:sz w:val="24"/>
          <w:szCs w:val="24"/>
          <w:lang w:val="en-US" w:eastAsia="zh-CN"/>
        </w:rPr>
        <w:t>9</w:t>
      </w:r>
    </w:p>
    <w:p>
      <w:pPr>
        <w:tabs>
          <w:tab w:val="right" w:pos="8640"/>
        </w:tabs>
        <w:snapToGrid w:val="0"/>
        <w:spacing w:before="360" w:line="300" w:lineRule="exact"/>
        <w:ind w:left="720" w:right="-74"/>
        <w:outlineLvl w:val="0"/>
        <w:rPr>
          <w:rFonts w:hint="eastAsia" w:ascii="宋体" w:eastAsia="宋体"/>
          <w:b/>
          <w:sz w:val="24"/>
          <w:szCs w:val="24"/>
          <w:lang w:eastAsia="zh-CN"/>
        </w:rPr>
      </w:pPr>
      <w:r>
        <w:rPr>
          <w:rFonts w:hint="eastAsia" w:ascii="宋体"/>
          <w:b/>
          <w:sz w:val="24"/>
          <w:szCs w:val="24"/>
        </w:rPr>
        <w:t>十二、价格评估机构……………………………………………</w:t>
      </w:r>
      <w:r>
        <w:rPr>
          <w:rFonts w:hint="eastAsia" w:ascii="宋体"/>
          <w:b/>
          <w:sz w:val="24"/>
          <w:szCs w:val="24"/>
          <w:lang w:val="en-US" w:eastAsia="zh-CN"/>
        </w:rPr>
        <w:t>9</w:t>
      </w:r>
    </w:p>
    <w:p>
      <w:pPr>
        <w:tabs>
          <w:tab w:val="right" w:pos="8640"/>
        </w:tabs>
        <w:snapToGrid w:val="0"/>
        <w:spacing w:before="360" w:line="300" w:lineRule="exact"/>
        <w:ind w:left="720" w:right="-74"/>
        <w:outlineLvl w:val="0"/>
        <w:rPr>
          <w:rFonts w:hint="eastAsia" w:ascii="宋体" w:eastAsia="宋体"/>
          <w:b/>
          <w:sz w:val="24"/>
          <w:szCs w:val="24"/>
          <w:lang w:eastAsia="zh-CN"/>
        </w:rPr>
      </w:pPr>
      <w:r>
        <w:rPr>
          <w:rFonts w:hint="eastAsia" w:ascii="宋体"/>
          <w:b/>
          <w:sz w:val="24"/>
          <w:szCs w:val="24"/>
        </w:rPr>
        <w:t>十三、价格评估人员……………………………………………</w:t>
      </w:r>
      <w:r>
        <w:rPr>
          <w:rFonts w:hint="eastAsia" w:ascii="宋体"/>
          <w:b/>
          <w:sz w:val="24"/>
          <w:szCs w:val="24"/>
          <w:lang w:val="en-US" w:eastAsia="zh-CN"/>
        </w:rPr>
        <w:t>9</w:t>
      </w:r>
    </w:p>
    <w:p>
      <w:pPr>
        <w:tabs>
          <w:tab w:val="right" w:pos="8640"/>
        </w:tabs>
        <w:snapToGrid w:val="0"/>
        <w:spacing w:before="360" w:line="300" w:lineRule="exact"/>
        <w:ind w:left="720" w:right="-74"/>
        <w:outlineLvl w:val="0"/>
        <w:rPr>
          <w:rFonts w:hint="default" w:ascii="宋体" w:eastAsia="宋体"/>
          <w:b/>
          <w:sz w:val="24"/>
          <w:szCs w:val="24"/>
          <w:lang w:val="en-US" w:eastAsia="zh-CN"/>
        </w:rPr>
      </w:pPr>
      <w:r>
        <w:rPr>
          <w:rFonts w:hint="eastAsia" w:ascii="宋体"/>
          <w:b/>
          <w:sz w:val="24"/>
          <w:szCs w:val="24"/>
        </w:rPr>
        <w:t>十四、附件………………………………………………………</w:t>
      </w:r>
      <w:r>
        <w:rPr>
          <w:rFonts w:hint="eastAsia" w:ascii="宋体"/>
          <w:b/>
          <w:sz w:val="24"/>
          <w:szCs w:val="24"/>
          <w:lang w:val="en-US" w:eastAsia="zh-CN"/>
        </w:rPr>
        <w:t>10</w:t>
      </w:r>
    </w:p>
    <w:p>
      <w:pPr>
        <w:keepNext w:val="0"/>
        <w:keepLines w:val="0"/>
        <w:pageBreakBefore w:val="0"/>
        <w:widowControl w:val="0"/>
        <w:tabs>
          <w:tab w:val="right" w:pos="8640"/>
        </w:tabs>
        <w:kinsoku/>
        <w:wordWrap/>
        <w:overflowPunct/>
        <w:topLinePunct w:val="0"/>
        <w:autoSpaceDE/>
        <w:autoSpaceDN/>
        <w:bidi w:val="0"/>
        <w:adjustRightInd/>
        <w:snapToGrid w:val="0"/>
        <w:spacing w:line="240" w:lineRule="auto"/>
        <w:ind w:left="0" w:leftChars="0" w:right="0" w:firstLine="482" w:firstLineChars="200"/>
        <w:textAlignment w:val="auto"/>
        <w:outlineLvl w:val="0"/>
        <w:rPr>
          <w:rFonts w:hint="eastAsia"/>
          <w:b/>
          <w:sz w:val="24"/>
          <w:szCs w:val="24"/>
          <w:lang w:eastAsia="zh-CN"/>
        </w:rPr>
      </w:pPr>
      <w:r>
        <w:rPr>
          <w:rFonts w:hint="eastAsia"/>
          <w:b/>
          <w:sz w:val="24"/>
          <w:szCs w:val="24"/>
          <w:lang w:eastAsia="zh-CN"/>
        </w:rPr>
        <w:t xml:space="preserve">（一）实物照片 </w:t>
      </w:r>
    </w:p>
    <w:p>
      <w:pPr>
        <w:keepNext w:val="0"/>
        <w:keepLines w:val="0"/>
        <w:pageBreakBefore w:val="0"/>
        <w:widowControl w:val="0"/>
        <w:tabs>
          <w:tab w:val="right" w:pos="8640"/>
        </w:tabs>
        <w:kinsoku/>
        <w:wordWrap/>
        <w:overflowPunct/>
        <w:topLinePunct w:val="0"/>
        <w:autoSpaceDE/>
        <w:autoSpaceDN/>
        <w:bidi w:val="0"/>
        <w:adjustRightInd/>
        <w:snapToGrid w:val="0"/>
        <w:spacing w:line="240" w:lineRule="auto"/>
        <w:ind w:left="0" w:leftChars="0" w:right="0" w:firstLine="482" w:firstLineChars="200"/>
        <w:textAlignment w:val="auto"/>
        <w:outlineLvl w:val="0"/>
        <w:rPr>
          <w:rFonts w:hint="eastAsia"/>
          <w:b/>
          <w:sz w:val="24"/>
          <w:szCs w:val="24"/>
          <w:lang w:val="en-US" w:eastAsia="zh-CN"/>
        </w:rPr>
      </w:pPr>
      <w:r>
        <w:rPr>
          <w:rFonts w:hint="eastAsia"/>
          <w:b/>
          <w:sz w:val="24"/>
          <w:szCs w:val="24"/>
          <w:lang w:eastAsia="zh-CN"/>
        </w:rPr>
        <w:t>（二）</w:t>
      </w:r>
      <w:r>
        <w:rPr>
          <w:rFonts w:hint="eastAsia"/>
          <w:b/>
          <w:sz w:val="24"/>
          <w:szCs w:val="24"/>
          <w:lang w:val="en-US" w:eastAsia="zh-CN"/>
        </w:rPr>
        <w:t>价格评估报告汇总表；</w:t>
      </w:r>
    </w:p>
    <w:p>
      <w:pPr>
        <w:keepNext w:val="0"/>
        <w:keepLines w:val="0"/>
        <w:pageBreakBefore w:val="0"/>
        <w:widowControl w:val="0"/>
        <w:tabs>
          <w:tab w:val="right" w:pos="8640"/>
        </w:tabs>
        <w:kinsoku/>
        <w:wordWrap/>
        <w:overflowPunct/>
        <w:topLinePunct w:val="0"/>
        <w:autoSpaceDE/>
        <w:autoSpaceDN/>
        <w:bidi w:val="0"/>
        <w:adjustRightInd/>
        <w:snapToGrid w:val="0"/>
        <w:spacing w:line="240" w:lineRule="auto"/>
        <w:ind w:left="0" w:leftChars="0" w:right="0" w:firstLine="482" w:firstLineChars="200"/>
        <w:textAlignment w:val="auto"/>
        <w:outlineLvl w:val="0"/>
        <w:rPr>
          <w:rFonts w:hint="default"/>
          <w:b/>
          <w:sz w:val="24"/>
          <w:szCs w:val="24"/>
          <w:lang w:val="en-US" w:eastAsia="zh-CN"/>
        </w:rPr>
      </w:pPr>
      <w:r>
        <w:rPr>
          <w:rFonts w:hint="eastAsia"/>
          <w:b/>
          <w:sz w:val="24"/>
          <w:szCs w:val="24"/>
          <w:lang w:eastAsia="zh-CN"/>
        </w:rPr>
        <w:t>（三）</w:t>
      </w:r>
      <w:r>
        <w:rPr>
          <w:rFonts w:hint="eastAsia"/>
          <w:b/>
          <w:sz w:val="24"/>
          <w:szCs w:val="24"/>
          <w:lang w:val="en-US" w:eastAsia="zh-CN"/>
        </w:rPr>
        <w:t>价格评估报告明细表；</w:t>
      </w:r>
    </w:p>
    <w:p>
      <w:pPr>
        <w:keepNext w:val="0"/>
        <w:keepLines w:val="0"/>
        <w:pageBreakBefore w:val="0"/>
        <w:widowControl w:val="0"/>
        <w:tabs>
          <w:tab w:val="right" w:pos="8640"/>
        </w:tabs>
        <w:kinsoku/>
        <w:wordWrap/>
        <w:overflowPunct/>
        <w:topLinePunct w:val="0"/>
        <w:autoSpaceDE/>
        <w:autoSpaceDN/>
        <w:bidi w:val="0"/>
        <w:adjustRightInd/>
        <w:snapToGrid w:val="0"/>
        <w:spacing w:line="240" w:lineRule="auto"/>
        <w:ind w:left="0" w:leftChars="0" w:right="0" w:firstLine="482" w:firstLineChars="200"/>
        <w:textAlignment w:val="auto"/>
        <w:outlineLvl w:val="0"/>
        <w:rPr>
          <w:rFonts w:hint="default"/>
          <w:b/>
          <w:sz w:val="24"/>
          <w:szCs w:val="24"/>
          <w:lang w:eastAsia="zh-CN"/>
        </w:rPr>
      </w:pPr>
      <w:r>
        <w:rPr>
          <w:rFonts w:hint="eastAsia"/>
          <w:b/>
          <w:sz w:val="24"/>
          <w:szCs w:val="24"/>
          <w:lang w:eastAsia="zh-CN"/>
        </w:rPr>
        <w:t>（四）</w:t>
      </w:r>
      <w:r>
        <w:rPr>
          <w:rFonts w:hint="eastAsia"/>
          <w:b/>
          <w:sz w:val="24"/>
          <w:szCs w:val="24"/>
          <w:lang w:val="en-US" w:eastAsia="zh-CN"/>
        </w:rPr>
        <w:t>沈阳市中级人民法院</w:t>
      </w:r>
      <w:r>
        <w:rPr>
          <w:rFonts w:hint="eastAsia"/>
          <w:b/>
          <w:sz w:val="24"/>
          <w:szCs w:val="24"/>
          <w:lang w:eastAsia="zh-CN"/>
        </w:rPr>
        <w:t>委托选定评估机构函复印件；</w:t>
      </w:r>
      <w:r>
        <w:rPr>
          <w:rFonts w:hint="eastAsia"/>
          <w:b/>
          <w:sz w:val="24"/>
          <w:szCs w:val="24"/>
          <w:lang w:eastAsia="zh-CN"/>
        </w:rPr>
        <w:br w:type="textWrapping"/>
      </w:r>
      <w:r>
        <w:rPr>
          <w:rFonts w:hint="eastAsia"/>
          <w:b/>
          <w:sz w:val="24"/>
          <w:szCs w:val="24"/>
          <w:lang w:eastAsia="zh-CN"/>
        </w:rPr>
        <w:t>　</w:t>
      </w:r>
      <w:r>
        <w:rPr>
          <w:rFonts w:hint="eastAsia"/>
          <w:b/>
          <w:sz w:val="24"/>
          <w:szCs w:val="24"/>
          <w:lang w:val="en-US" w:eastAsia="zh-CN"/>
        </w:rPr>
        <w:t xml:space="preserve">  </w:t>
      </w:r>
      <w:r>
        <w:rPr>
          <w:rFonts w:hint="eastAsia"/>
          <w:b/>
          <w:sz w:val="24"/>
          <w:szCs w:val="24"/>
          <w:lang w:eastAsia="zh-CN"/>
        </w:rPr>
        <w:t>（五）价格评估人员资质证书复印件；</w:t>
      </w:r>
      <w:r>
        <w:rPr>
          <w:rFonts w:hint="eastAsia"/>
          <w:b/>
          <w:sz w:val="24"/>
          <w:szCs w:val="24"/>
          <w:lang w:eastAsia="zh-CN"/>
        </w:rPr>
        <w:br w:type="textWrapping"/>
      </w:r>
      <w:r>
        <w:rPr>
          <w:rFonts w:hint="eastAsia"/>
          <w:b/>
          <w:sz w:val="24"/>
          <w:szCs w:val="24"/>
          <w:lang w:eastAsia="zh-CN"/>
        </w:rPr>
        <w:t>　　（六）价格评估机构资质证书复印件；</w:t>
      </w:r>
      <w:r>
        <w:rPr>
          <w:rFonts w:hint="eastAsia"/>
          <w:b/>
          <w:sz w:val="24"/>
          <w:szCs w:val="24"/>
          <w:lang w:eastAsia="zh-CN"/>
        </w:rPr>
        <w:br w:type="textWrapping"/>
      </w:r>
      <w:r>
        <w:rPr>
          <w:rFonts w:hint="eastAsia"/>
          <w:b/>
          <w:sz w:val="24"/>
          <w:szCs w:val="24"/>
          <w:lang w:eastAsia="zh-CN"/>
        </w:rPr>
        <w:t>　</w:t>
      </w:r>
      <w:r>
        <w:rPr>
          <w:rFonts w:hint="eastAsia"/>
          <w:b/>
          <w:sz w:val="24"/>
          <w:szCs w:val="24"/>
          <w:lang w:val="en-US" w:eastAsia="zh-CN"/>
        </w:rPr>
        <w:t xml:space="preserve">  </w:t>
      </w:r>
      <w:r>
        <w:rPr>
          <w:rFonts w:hint="eastAsia"/>
          <w:b/>
          <w:sz w:val="24"/>
          <w:szCs w:val="24"/>
          <w:lang w:eastAsia="zh-CN"/>
        </w:rPr>
        <w:t>（七）价格评估机构营业执照（副本）复印件</w:t>
      </w:r>
    </w:p>
    <w:p>
      <w:pPr>
        <w:tabs>
          <w:tab w:val="right" w:pos="8640"/>
        </w:tabs>
        <w:snapToGrid w:val="0"/>
        <w:spacing w:before="360" w:line="240" w:lineRule="auto"/>
        <w:ind w:left="0" w:leftChars="0" w:right="-74" w:firstLine="504" w:firstLineChars="209"/>
        <w:outlineLvl w:val="0"/>
        <w:rPr>
          <w:rFonts w:hint="eastAsia"/>
          <w:b/>
          <w:sz w:val="24"/>
          <w:szCs w:val="24"/>
          <w:lang w:eastAsia="zh-CN"/>
        </w:rPr>
        <w:sectPr>
          <w:footerReference r:id="rId7" w:type="first"/>
          <w:footerReference r:id="rId6" w:type="default"/>
          <w:pgSz w:w="11906" w:h="16838"/>
          <w:pgMar w:top="1440" w:right="1800" w:bottom="1440" w:left="1800" w:header="851" w:footer="992" w:gutter="0"/>
          <w:pgNumType w:fmt="numberInDash" w:start="0"/>
          <w:cols w:space="720" w:num="1"/>
          <w:docGrid w:type="lines" w:linePitch="312" w:charSpace="0"/>
        </w:sectPr>
      </w:pPr>
    </w:p>
    <w:p>
      <w:pPr>
        <w:tabs>
          <w:tab w:val="left" w:pos="0"/>
        </w:tabs>
        <w:snapToGrid w:val="0"/>
        <w:spacing w:before="480"/>
        <w:ind w:hanging="540"/>
        <w:jc w:val="center"/>
        <w:outlineLvl w:val="0"/>
        <w:rPr>
          <w:rFonts w:hint="default" w:ascii="宋体" w:hAnsi="宋体"/>
          <w:b/>
          <w:color w:val="FF0000"/>
          <w:spacing w:val="-50"/>
          <w:kern w:val="10"/>
          <w:sz w:val="72"/>
          <w:szCs w:val="72"/>
        </w:rPr>
      </w:pPr>
      <w:r>
        <w:rPr>
          <w:rFonts w:hint="eastAsia" w:ascii="宋体" w:hAnsi="宋体"/>
          <w:b/>
          <w:color w:val="FF0000"/>
          <w:spacing w:val="-50"/>
          <w:kern w:val="10"/>
          <w:sz w:val="72"/>
          <w:szCs w:val="72"/>
        </w:rPr>
        <w:t>辽宁</w:t>
      </w:r>
      <w:r>
        <w:rPr>
          <w:rFonts w:hint="eastAsia" w:ascii="宋体" w:hAnsi="宋体"/>
          <w:b/>
          <w:color w:val="FF0000"/>
          <w:spacing w:val="-50"/>
          <w:kern w:val="10"/>
          <w:sz w:val="72"/>
          <w:szCs w:val="72"/>
          <w:lang w:eastAsia="zh-CN"/>
        </w:rPr>
        <w:t>艺林瀚海价格评估有限公司</w:t>
      </w:r>
    </w:p>
    <w:p>
      <w:pPr>
        <w:jc w:val="center"/>
        <w:rPr>
          <w:rFonts w:hint="default" w:ascii="宋体" w:hAnsi="宋体"/>
          <w:b/>
          <w:color w:val="000000"/>
          <w:sz w:val="15"/>
          <w:szCs w:val="15"/>
        </w:rPr>
      </w:pPr>
    </w:p>
    <w:p>
      <w:pPr>
        <w:jc w:val="center"/>
        <w:rPr>
          <w:rFonts w:hint="default" w:ascii="仿宋_GB2312" w:hAnsi="宋体" w:eastAsia="仿宋_GB2312"/>
          <w:b/>
          <w:color w:val="FF0000"/>
          <w:spacing w:val="40"/>
          <w:sz w:val="36"/>
          <w:szCs w:val="36"/>
        </w:rPr>
      </w:pPr>
      <w:r>
        <w:rPr>
          <w:rFonts w:hint="eastAsia" w:ascii="宋体" w:hAnsi="宋体"/>
          <w:b/>
          <w:color w:val="000000"/>
          <w:sz w:val="28"/>
          <w:lang w:eastAsia="zh-CN"/>
        </w:rPr>
        <w:t>辽【涉价】</w:t>
      </w:r>
      <w:r>
        <w:rPr>
          <w:rFonts w:hint="eastAsia" w:ascii="宋体" w:hAnsi="宋体"/>
          <w:b/>
          <w:color w:val="000000"/>
          <w:sz w:val="28"/>
        </w:rPr>
        <w:t>字</w:t>
      </w:r>
      <w:r>
        <w:rPr>
          <w:rFonts w:hint="eastAsia" w:ascii="宋体" w:hAnsi="宋体"/>
          <w:b/>
          <w:color w:val="000000"/>
          <w:sz w:val="28"/>
          <w:lang w:eastAsia="zh-CN"/>
        </w:rPr>
        <w:t>第</w:t>
      </w:r>
      <w:r>
        <w:rPr>
          <w:rFonts w:hint="eastAsia" w:ascii="宋体" w:hAnsi="宋体"/>
          <w:b/>
          <w:color w:val="000000"/>
          <w:sz w:val="28"/>
          <w:highlight w:val="none"/>
          <w:lang w:val="en-US" w:eastAsia="zh-CN"/>
        </w:rPr>
        <w:t>201001</w:t>
      </w:r>
      <w:r>
        <w:rPr>
          <w:rFonts w:hint="eastAsia" w:ascii="宋体" w:hAnsi="宋体"/>
          <w:b/>
          <w:color w:val="000000"/>
          <w:sz w:val="28"/>
        </w:rPr>
        <w:t>号</w:t>
      </w:r>
    </w:p>
    <w:p>
      <w:pPr>
        <w:jc w:val="center"/>
        <w:rPr>
          <w:rFonts w:hint="default" w:ascii="宋体" w:hAnsi="宋体"/>
          <w:b/>
          <w:color w:val="000000"/>
          <w:sz w:val="15"/>
          <w:szCs w:val="15"/>
        </w:rPr>
      </w:pPr>
      <w:r>
        <w:rPr>
          <w:rFonts w:hint="eastAsia" w:ascii="宋体" w:hAnsi="宋体"/>
          <w:b/>
          <w:color w:val="000000"/>
          <w:sz w:val="15"/>
          <w:szCs w:val="15"/>
        </w:rPr>
        <w:t xml:space="preserve">                                        </w:t>
      </w:r>
    </w:p>
    <w:p>
      <w:pPr>
        <w:pBdr>
          <w:top w:val="single" w:color="FF0000" w:sz="18" w:space="1"/>
          <w:between w:val="single" w:color="auto" w:sz="18" w:space="1"/>
        </w:pBdr>
        <w:tabs>
          <w:tab w:val="left" w:pos="900"/>
        </w:tabs>
        <w:rPr>
          <w:rFonts w:hint="default" w:ascii="新宋体" w:hAnsi="新宋体" w:eastAsia="新宋体"/>
          <w:b/>
          <w:color w:val="FF0000"/>
          <w:sz w:val="16"/>
          <w:szCs w:val="16"/>
        </w:rPr>
      </w:pPr>
      <w:r>
        <w:rPr>
          <w:rFonts w:hint="default" w:ascii="新宋体" w:hAnsi="新宋体" w:eastAsia="新宋体"/>
          <w:b/>
          <w:color w:val="FF0000"/>
          <w:sz w:val="30"/>
          <w:szCs w:val="30"/>
        </w:rPr>
        <w:tab/>
      </w:r>
    </w:p>
    <w:p>
      <w:pPr>
        <w:adjustRightInd w:val="0"/>
        <w:snapToGrid w:val="0"/>
        <w:jc w:val="center"/>
        <w:outlineLvl w:val="0"/>
        <w:rPr>
          <w:rFonts w:hint="default" w:ascii="宋体"/>
          <w:b/>
          <w:sz w:val="40"/>
        </w:rPr>
      </w:pPr>
      <w:r>
        <w:rPr>
          <w:rFonts w:hint="eastAsia" w:ascii="宋体"/>
          <w:b/>
          <w:sz w:val="40"/>
        </w:rPr>
        <w:t>关于</w:t>
      </w:r>
      <w:r>
        <w:rPr>
          <w:rFonts w:hint="eastAsia" w:ascii="宋体"/>
          <w:b/>
          <w:sz w:val="40"/>
          <w:lang w:eastAsia="zh-CN"/>
        </w:rPr>
        <w:t>被执行人所有的动产价</w:t>
      </w:r>
      <w:r>
        <w:rPr>
          <w:rFonts w:hint="eastAsia" w:ascii="宋体"/>
          <w:b/>
          <w:sz w:val="40"/>
          <w:lang w:val="en-US" w:eastAsia="zh-CN"/>
        </w:rPr>
        <w:t>格</w:t>
      </w:r>
      <w:r>
        <w:rPr>
          <w:rFonts w:hint="eastAsia" w:ascii="宋体"/>
          <w:b/>
          <w:sz w:val="40"/>
        </w:rPr>
        <w:t>评估</w:t>
      </w:r>
      <w:r>
        <w:rPr>
          <w:rFonts w:hint="eastAsia" w:ascii="宋体"/>
          <w:b/>
          <w:sz w:val="40"/>
          <w:lang w:eastAsia="zh-CN"/>
        </w:rPr>
        <w:t>报告</w:t>
      </w:r>
      <w:r>
        <w:rPr>
          <w:rFonts w:hint="eastAsia" w:ascii="宋体"/>
          <w:b/>
          <w:sz w:val="40"/>
        </w:rPr>
        <w:t>书</w:t>
      </w:r>
    </w:p>
    <w:p>
      <w:pPr>
        <w:adjustRightInd w:val="0"/>
        <w:snapToGrid w:val="0"/>
        <w:rPr>
          <w:rFonts w:hint="default" w:ascii="宋体"/>
          <w:sz w:val="36"/>
        </w:rPr>
      </w:pPr>
    </w:p>
    <w:p>
      <w:pPr>
        <w:adjustRightInd w:val="0"/>
        <w:snapToGrid w:val="0"/>
        <w:rPr>
          <w:rFonts w:hint="default" w:ascii="宋体"/>
          <w:b/>
          <w:sz w:val="28"/>
        </w:rPr>
      </w:pPr>
      <w:r>
        <w:rPr>
          <w:rFonts w:hint="eastAsia" w:ascii="宋体"/>
          <w:b/>
          <w:sz w:val="28"/>
          <w:lang w:eastAsia="zh-CN"/>
        </w:rPr>
        <w:t>沈阳市中级人民法院</w:t>
      </w:r>
      <w:r>
        <w:rPr>
          <w:rFonts w:hint="eastAsia" w:ascii="宋体"/>
          <w:b/>
          <w:sz w:val="28"/>
        </w:rPr>
        <w:t>：</w:t>
      </w:r>
    </w:p>
    <w:p>
      <w:pPr>
        <w:adjustRightInd w:val="0"/>
        <w:snapToGrid w:val="0"/>
        <w:rPr>
          <w:rFonts w:hint="default" w:ascii="宋体"/>
          <w:sz w:val="28"/>
        </w:rPr>
      </w:pPr>
    </w:p>
    <w:p>
      <w:pPr>
        <w:pStyle w:val="2"/>
        <w:adjustRightInd w:val="0"/>
        <w:snapToGrid w:val="0"/>
        <w:rPr>
          <w:rFonts w:hint="default" w:ascii="宋体"/>
          <w:sz w:val="16"/>
        </w:rPr>
      </w:pPr>
      <w:r>
        <w:rPr>
          <w:rFonts w:hint="eastAsia"/>
        </w:rPr>
        <w:t>根据</w:t>
      </w:r>
      <w:r>
        <w:rPr>
          <w:rFonts w:hint="eastAsia"/>
          <w:lang w:val="en-US" w:eastAsia="zh-CN"/>
        </w:rPr>
        <w:t>你</w:t>
      </w:r>
      <w:r>
        <w:rPr>
          <w:rFonts w:hint="eastAsia"/>
          <w:lang w:eastAsia="zh-CN"/>
        </w:rPr>
        <w:t>单位</w:t>
      </w:r>
      <w:r>
        <w:rPr>
          <w:rFonts w:hint="eastAsia"/>
        </w:rPr>
        <w:t>的委托,</w:t>
      </w:r>
      <w:r>
        <w:rPr>
          <w:rFonts w:hint="eastAsia" w:hAnsi="宋体"/>
          <w:color w:val="000000"/>
        </w:rPr>
        <w:t>遵循</w:t>
      </w:r>
      <w:r>
        <w:rPr>
          <w:rFonts w:hint="eastAsia" w:hAnsi="宋体"/>
          <w:color w:val="000000"/>
          <w:lang w:eastAsia="zh-CN"/>
        </w:rPr>
        <w:t>依法、</w:t>
      </w:r>
      <w:r>
        <w:rPr>
          <w:rFonts w:hint="eastAsia" w:hAnsi="宋体"/>
          <w:color w:val="000000"/>
        </w:rPr>
        <w:t>独立、客观、公</w:t>
      </w:r>
      <w:r>
        <w:rPr>
          <w:rFonts w:hint="eastAsia" w:hAnsi="宋体"/>
        </w:rPr>
        <w:t>正的原则</w:t>
      </w:r>
      <w:r>
        <w:rPr>
          <w:rFonts w:hint="eastAsia"/>
        </w:rPr>
        <w:t>，按照规定的标准、程序和方法，我</w:t>
      </w:r>
      <w:r>
        <w:rPr>
          <w:rFonts w:hint="eastAsia"/>
          <w:lang w:eastAsia="zh-CN"/>
        </w:rPr>
        <w:t>公司</w:t>
      </w:r>
      <w:r>
        <w:rPr>
          <w:rFonts w:hint="eastAsia"/>
        </w:rPr>
        <w:t>组织专业人员对</w:t>
      </w:r>
      <w:r>
        <w:rPr>
          <w:rFonts w:hint="eastAsia"/>
          <w:lang w:val="en-US" w:eastAsia="zh-CN"/>
        </w:rPr>
        <w:t>你</w:t>
      </w:r>
      <w:r>
        <w:rPr>
          <w:rFonts w:hint="eastAsia"/>
        </w:rPr>
        <w:t>单位</w:t>
      </w:r>
      <w:r>
        <w:rPr>
          <w:rFonts w:hint="eastAsia"/>
          <w:lang w:val="en-US" w:eastAsia="zh-CN"/>
        </w:rPr>
        <w:t>委托</w:t>
      </w:r>
      <w:r>
        <w:rPr>
          <w:rFonts w:hint="eastAsia"/>
        </w:rPr>
        <w:t>的</w:t>
      </w:r>
      <w:r>
        <w:rPr>
          <w:rFonts w:hint="eastAsia" w:ascii="宋体" w:hAnsi="宋体" w:cs="宋体"/>
          <w:color w:val="000000"/>
          <w:sz w:val="28"/>
          <w:lang w:eastAsia="zh-CN"/>
        </w:rPr>
        <w:t>被执行人所有的动产</w:t>
      </w:r>
      <w:r>
        <w:rPr>
          <w:rFonts w:hint="eastAsia"/>
        </w:rPr>
        <w:t>进行了价格评估。现将价格评估意见综述如下：</w:t>
      </w:r>
    </w:p>
    <w:p>
      <w:pPr>
        <w:numPr>
          <w:ilvl w:val="0"/>
          <w:numId w:val="1"/>
        </w:numPr>
        <w:adjustRightInd w:val="0"/>
        <w:snapToGrid w:val="0"/>
        <w:spacing w:line="360" w:lineRule="auto"/>
        <w:rPr>
          <w:rFonts w:hint="default" w:ascii="宋体"/>
          <w:b/>
          <w:sz w:val="28"/>
        </w:rPr>
      </w:pPr>
      <w:r>
        <w:rPr>
          <w:rFonts w:hint="eastAsia" w:ascii="宋体"/>
          <w:b/>
          <w:sz w:val="28"/>
        </w:rPr>
        <w:t>价格评估标的</w:t>
      </w:r>
    </w:p>
    <w:p>
      <w:pPr>
        <w:pStyle w:val="2"/>
        <w:adjustRightInd w:val="0"/>
        <w:snapToGrid w:val="0"/>
        <w:rPr>
          <w:rFonts w:hint="eastAsia" w:eastAsia="宋体"/>
          <w:sz w:val="16"/>
          <w:szCs w:val="16"/>
          <w:lang w:eastAsia="zh-CN"/>
        </w:rPr>
      </w:pPr>
      <w:r>
        <w:rPr>
          <w:rFonts w:hint="eastAsia"/>
        </w:rPr>
        <w:t>价格评估标的为</w:t>
      </w:r>
      <w:r>
        <w:rPr>
          <w:rFonts w:hint="eastAsia" w:ascii="宋体" w:hAnsi="宋体" w:cs="宋体"/>
          <w:color w:val="000000"/>
          <w:sz w:val="28"/>
          <w:lang w:eastAsia="zh-CN"/>
        </w:rPr>
        <w:t>被执行人所有的动产</w:t>
      </w:r>
      <w:r>
        <w:rPr>
          <w:rFonts w:hint="eastAsia"/>
        </w:rPr>
        <w:t>。</w:t>
      </w:r>
      <w:r>
        <w:rPr>
          <w:rFonts w:hint="eastAsia"/>
          <w:lang w:eastAsia="zh-CN"/>
        </w:rPr>
        <w:t>（详见《价格评估咨询意见明细表》）</w:t>
      </w:r>
    </w:p>
    <w:p>
      <w:pPr>
        <w:pStyle w:val="2"/>
        <w:adjustRightInd w:val="0"/>
        <w:snapToGrid w:val="0"/>
        <w:ind w:firstLine="874" w:firstLineChars="311"/>
        <w:rPr>
          <w:b/>
        </w:rPr>
      </w:pPr>
      <w:r>
        <w:rPr>
          <w:rFonts w:hint="eastAsia"/>
          <w:b/>
        </w:rPr>
        <w:t>二、</w:t>
      </w:r>
      <w:r>
        <w:rPr>
          <w:rFonts w:hint="eastAsia" w:ascii="宋体" w:hAnsi="Times New Roman" w:eastAsia="宋体" w:cs="Times New Roman"/>
          <w:b/>
          <w:kern w:val="2"/>
          <w:sz w:val="28"/>
          <w:szCs w:val="24"/>
          <w:lang w:val="en-US" w:eastAsia="zh-CN"/>
        </w:rPr>
        <w:t>价格评估目的</w:t>
      </w:r>
    </w:p>
    <w:p>
      <w:pPr>
        <w:pStyle w:val="2"/>
        <w:adjustRightInd w:val="0"/>
        <w:snapToGrid w:val="0"/>
        <w:rPr>
          <w:rFonts w:hint="default" w:ascii="宋体"/>
          <w:sz w:val="16"/>
        </w:rPr>
      </w:pPr>
      <w:r>
        <w:rPr>
          <w:rFonts w:hint="eastAsia"/>
        </w:rPr>
        <w:t>确定价格评估标的在价格评估基准日的</w:t>
      </w:r>
      <w:r>
        <w:rPr>
          <w:rFonts w:hint="eastAsia"/>
          <w:lang w:eastAsia="zh-CN"/>
        </w:rPr>
        <w:t>市场</w:t>
      </w:r>
      <w:r>
        <w:rPr>
          <w:rFonts w:hint="eastAsia"/>
        </w:rPr>
        <w:t>价格，为委托方提供价格参考依据。</w:t>
      </w:r>
    </w:p>
    <w:p>
      <w:pPr>
        <w:adjustRightInd w:val="0"/>
        <w:snapToGrid w:val="0"/>
        <w:spacing w:line="360" w:lineRule="auto"/>
        <w:ind w:left="840"/>
        <w:rPr>
          <w:rFonts w:hint="default" w:ascii="宋体"/>
          <w:b/>
          <w:sz w:val="28"/>
        </w:rPr>
      </w:pPr>
      <w:r>
        <w:rPr>
          <w:rFonts w:hint="eastAsia" w:ascii="宋体"/>
          <w:b/>
          <w:sz w:val="28"/>
        </w:rPr>
        <w:t>三、</w:t>
      </w:r>
      <w:r>
        <w:rPr>
          <w:rFonts w:hint="eastAsia" w:ascii="宋体" w:hAnsi="Times New Roman" w:eastAsia="宋体" w:cs="Times New Roman"/>
          <w:b/>
          <w:kern w:val="2"/>
          <w:sz w:val="28"/>
          <w:szCs w:val="24"/>
          <w:lang w:val="en-US" w:eastAsia="zh-CN"/>
        </w:rPr>
        <w:t>价格评估基准日</w:t>
      </w:r>
    </w:p>
    <w:p>
      <w:pPr>
        <w:pStyle w:val="2"/>
        <w:adjustRightInd w:val="0"/>
        <w:snapToGrid w:val="0"/>
      </w:pPr>
      <w:r>
        <w:rPr>
          <w:rFonts w:hint="eastAsia"/>
        </w:rPr>
        <w:t>本次价格评估基准日</w:t>
      </w:r>
      <w:r>
        <w:rPr>
          <w:rFonts w:hint="eastAsia"/>
          <w:lang w:eastAsia="zh-CN"/>
        </w:rPr>
        <w:t>：</w:t>
      </w:r>
      <w:r>
        <w:rPr>
          <w:rFonts w:hint="eastAsia"/>
          <w:highlight w:val="none"/>
          <w:lang w:val="en-US" w:eastAsia="zh-CN"/>
        </w:rPr>
        <w:t>2019年12月</w:t>
      </w:r>
      <w:r>
        <w:rPr>
          <w:rFonts w:hint="eastAsia"/>
        </w:rPr>
        <w:t>。</w:t>
      </w:r>
    </w:p>
    <w:p>
      <w:pPr>
        <w:pStyle w:val="2"/>
        <w:adjustRightInd w:val="0"/>
        <w:snapToGrid w:val="0"/>
        <w:rPr>
          <w:rFonts w:hint="eastAsia"/>
        </w:rPr>
      </w:pPr>
      <w:r>
        <w:rPr>
          <w:rFonts w:hint="eastAsia"/>
        </w:rPr>
        <w:t>价格评估基准日</w:t>
      </w:r>
      <w:r>
        <w:rPr>
          <w:rFonts w:hint="eastAsia"/>
          <w:lang w:eastAsia="zh-CN"/>
        </w:rPr>
        <w:t>：</w:t>
      </w:r>
      <w:r>
        <w:rPr>
          <w:rFonts w:hint="eastAsia"/>
        </w:rPr>
        <w:t>价格评估标的的</w:t>
      </w:r>
      <w:r>
        <w:rPr>
          <w:rFonts w:hint="eastAsia"/>
          <w:lang w:eastAsia="zh-CN"/>
        </w:rPr>
        <w:t>市场</w:t>
      </w:r>
      <w:r>
        <w:rPr>
          <w:rFonts w:hint="eastAsia"/>
        </w:rPr>
        <w:t>价格会随着市场条件的变化而不断改变，在价格评估时，市场条件应固定在某一时点，这一时点就是价格评估基准日。</w:t>
      </w:r>
    </w:p>
    <w:p>
      <w:pPr>
        <w:adjustRightInd w:val="0"/>
        <w:snapToGrid w:val="0"/>
        <w:spacing w:line="360" w:lineRule="auto"/>
        <w:rPr>
          <w:rFonts w:hint="default" w:ascii="宋体"/>
          <w:sz w:val="16"/>
        </w:rPr>
      </w:pPr>
    </w:p>
    <w:p>
      <w:pPr>
        <w:numPr>
          <w:ilvl w:val="0"/>
          <w:numId w:val="2"/>
        </w:numPr>
        <w:tabs>
          <w:tab w:val="left" w:pos="1470"/>
        </w:tabs>
        <w:adjustRightInd w:val="0"/>
        <w:snapToGrid w:val="0"/>
        <w:spacing w:line="360" w:lineRule="auto"/>
        <w:rPr>
          <w:rFonts w:hint="default" w:ascii="宋体"/>
          <w:b/>
          <w:sz w:val="28"/>
        </w:rPr>
      </w:pPr>
      <w:r>
        <w:rPr>
          <w:rFonts w:hint="eastAsia" w:ascii="宋体"/>
          <w:b/>
          <w:sz w:val="28"/>
        </w:rPr>
        <w:t>价格定义</w:t>
      </w:r>
    </w:p>
    <w:p>
      <w:pPr>
        <w:pStyle w:val="2"/>
        <w:adjustRightInd w:val="0"/>
        <w:snapToGrid w:val="0"/>
      </w:pPr>
      <w:r>
        <w:rPr>
          <w:rFonts w:hint="eastAsia"/>
        </w:rPr>
        <w:t>价格评估结论所指价格是：价格评估标的在价格评估基准日，依据国家有关部门文件规定，采用公开市场价值标准确定的客观合理的</w:t>
      </w:r>
      <w:r>
        <w:rPr>
          <w:rFonts w:hint="eastAsia"/>
          <w:lang w:eastAsia="zh-CN"/>
        </w:rPr>
        <w:t>市场</w:t>
      </w:r>
      <w:r>
        <w:rPr>
          <w:rFonts w:hint="eastAsia"/>
        </w:rPr>
        <w:t>价格。</w:t>
      </w:r>
    </w:p>
    <w:p>
      <w:pPr>
        <w:pStyle w:val="2"/>
        <w:adjustRightInd w:val="0"/>
        <w:snapToGrid w:val="0"/>
        <w:rPr>
          <w:sz w:val="16"/>
        </w:rPr>
      </w:pPr>
    </w:p>
    <w:p>
      <w:pPr>
        <w:numPr>
          <w:ilvl w:val="0"/>
          <w:numId w:val="1"/>
        </w:numPr>
        <w:adjustRightInd w:val="0"/>
        <w:snapToGrid w:val="0"/>
        <w:spacing w:line="360" w:lineRule="auto"/>
        <w:rPr>
          <w:rFonts w:hint="default" w:ascii="宋体"/>
          <w:b/>
          <w:sz w:val="28"/>
        </w:rPr>
      </w:pPr>
      <w:r>
        <w:rPr>
          <w:rFonts w:hint="eastAsia" w:ascii="宋体"/>
          <w:b/>
          <w:sz w:val="28"/>
        </w:rPr>
        <w:t>价格评估依据</w:t>
      </w:r>
    </w:p>
    <w:p>
      <w:pPr>
        <w:numPr>
          <w:ilvl w:val="0"/>
          <w:numId w:val="3"/>
        </w:numPr>
        <w:adjustRightInd w:val="0"/>
        <w:snapToGrid w:val="0"/>
        <w:spacing w:line="360" w:lineRule="auto"/>
        <w:rPr>
          <w:rFonts w:hint="default" w:ascii="宋体"/>
          <w:sz w:val="28"/>
        </w:rPr>
      </w:pPr>
      <w:r>
        <w:rPr>
          <w:rFonts w:hint="eastAsia" w:ascii="宋体"/>
          <w:sz w:val="28"/>
        </w:rPr>
        <w:t>国家有关价格评估方面的法律、法规及政策</w:t>
      </w:r>
    </w:p>
    <w:p>
      <w:pPr>
        <w:numPr>
          <w:ilvl w:val="0"/>
          <w:numId w:val="4"/>
        </w:numPr>
        <w:adjustRightInd w:val="0"/>
        <w:snapToGrid w:val="0"/>
        <w:spacing w:line="360" w:lineRule="auto"/>
        <w:ind w:firstLine="560" w:firstLineChars="200"/>
        <w:rPr>
          <w:rFonts w:hint="eastAsia" w:ascii="宋体"/>
          <w:sz w:val="28"/>
        </w:rPr>
      </w:pPr>
      <w:r>
        <w:rPr>
          <w:rFonts w:hint="eastAsia" w:ascii="宋体"/>
          <w:sz w:val="28"/>
        </w:rPr>
        <w:t>《中华人民共和国价格法》；　　</w:t>
      </w:r>
    </w:p>
    <w:p>
      <w:pPr>
        <w:numPr>
          <w:ilvl w:val="0"/>
          <w:numId w:val="4"/>
        </w:numPr>
        <w:adjustRightInd w:val="0"/>
        <w:snapToGrid w:val="0"/>
        <w:spacing w:line="360" w:lineRule="auto"/>
        <w:ind w:firstLine="560" w:firstLineChars="200"/>
        <w:rPr>
          <w:rFonts w:hint="default" w:ascii="宋体"/>
          <w:sz w:val="28"/>
        </w:rPr>
      </w:pPr>
      <w:r>
        <w:rPr>
          <w:rFonts w:hint="eastAsia" w:ascii="宋体"/>
          <w:sz w:val="28"/>
        </w:rPr>
        <w:t>《中华人民共和国</w:t>
      </w:r>
      <w:r>
        <w:rPr>
          <w:rFonts w:hint="default" w:ascii="宋体"/>
          <w:sz w:val="28"/>
        </w:rPr>
        <w:t>资产评估法</w:t>
      </w:r>
      <w:r>
        <w:rPr>
          <w:rFonts w:hint="eastAsia" w:ascii="宋体"/>
          <w:sz w:val="28"/>
        </w:rPr>
        <w:t>》</w:t>
      </w:r>
      <w:r>
        <w:rPr>
          <w:rFonts w:hint="eastAsia" w:ascii="宋体"/>
          <w:sz w:val="28"/>
          <w:lang w:val="en-US" w:eastAsia="zh-CN"/>
        </w:rPr>
        <w:t>；</w:t>
      </w:r>
    </w:p>
    <w:p>
      <w:pPr>
        <w:numPr>
          <w:ilvl w:val="0"/>
          <w:numId w:val="4"/>
        </w:numPr>
        <w:adjustRightInd w:val="0"/>
        <w:snapToGrid w:val="0"/>
        <w:spacing w:line="360" w:lineRule="auto"/>
        <w:ind w:firstLine="560" w:firstLineChars="200"/>
        <w:rPr>
          <w:rFonts w:hint="default" w:ascii="宋体"/>
          <w:sz w:val="28"/>
        </w:rPr>
      </w:pPr>
      <w:r>
        <w:rPr>
          <w:rFonts w:hint="eastAsia" w:ascii="宋体"/>
          <w:sz w:val="28"/>
        </w:rPr>
        <w:t>其他相关法律、法规、政策。</w:t>
      </w:r>
    </w:p>
    <w:p>
      <w:pPr>
        <w:numPr>
          <w:ilvl w:val="0"/>
          <w:numId w:val="3"/>
        </w:numPr>
        <w:adjustRightInd w:val="0"/>
        <w:snapToGrid w:val="0"/>
        <w:spacing w:line="360" w:lineRule="auto"/>
        <w:rPr>
          <w:rFonts w:hint="default" w:ascii="宋体"/>
          <w:sz w:val="28"/>
        </w:rPr>
      </w:pPr>
      <w:r>
        <w:rPr>
          <w:rFonts w:hint="eastAsia" w:ascii="宋体"/>
          <w:sz w:val="28"/>
        </w:rPr>
        <w:t>委托方提供的有关资料</w:t>
      </w:r>
    </w:p>
    <w:p>
      <w:pPr>
        <w:numPr>
          <w:ilvl w:val="0"/>
          <w:numId w:val="5"/>
        </w:numPr>
        <w:adjustRightInd w:val="0"/>
        <w:snapToGrid w:val="0"/>
        <w:spacing w:line="360" w:lineRule="auto"/>
        <w:ind w:firstLine="560" w:firstLineChars="200"/>
        <w:rPr>
          <w:rFonts w:hint="default" w:ascii="宋体"/>
          <w:sz w:val="28"/>
        </w:rPr>
      </w:pPr>
      <w:r>
        <w:rPr>
          <w:rFonts w:hint="eastAsia" w:ascii="宋体"/>
          <w:sz w:val="28"/>
          <w:lang w:eastAsia="zh-CN"/>
        </w:rPr>
        <w:t>司法鉴定</w:t>
      </w:r>
      <w:r>
        <w:rPr>
          <w:rFonts w:hint="eastAsia" w:ascii="宋体"/>
          <w:sz w:val="28"/>
        </w:rPr>
        <w:t>委托书；</w:t>
      </w:r>
    </w:p>
    <w:p>
      <w:pPr>
        <w:numPr>
          <w:ilvl w:val="0"/>
          <w:numId w:val="5"/>
        </w:numPr>
        <w:adjustRightInd w:val="0"/>
        <w:snapToGrid w:val="0"/>
        <w:spacing w:line="360" w:lineRule="auto"/>
        <w:ind w:left="0" w:leftChars="0" w:firstLine="560" w:firstLineChars="200"/>
        <w:rPr>
          <w:rFonts w:hint="default" w:ascii="宋体" w:hAnsi="宋体"/>
          <w:sz w:val="28"/>
        </w:rPr>
      </w:pPr>
      <w:r>
        <w:rPr>
          <w:rFonts w:hint="eastAsia" w:ascii="宋体"/>
          <w:sz w:val="28"/>
        </w:rPr>
        <w:t>评估标的相关资料。</w:t>
      </w:r>
    </w:p>
    <w:p>
      <w:pPr>
        <w:numPr>
          <w:ilvl w:val="0"/>
          <w:numId w:val="3"/>
        </w:numPr>
        <w:adjustRightInd w:val="0"/>
        <w:snapToGrid w:val="0"/>
        <w:spacing w:line="360" w:lineRule="auto"/>
        <w:rPr>
          <w:rFonts w:hint="default" w:ascii="宋体"/>
          <w:sz w:val="28"/>
        </w:rPr>
      </w:pPr>
      <w:r>
        <w:rPr>
          <w:rFonts w:hint="eastAsia" w:ascii="宋体"/>
          <w:sz w:val="28"/>
        </w:rPr>
        <w:t>价格评估方收集的有关资料</w:t>
      </w:r>
    </w:p>
    <w:p>
      <w:pPr>
        <w:numPr>
          <w:ilvl w:val="0"/>
          <w:numId w:val="0"/>
        </w:numPr>
        <w:adjustRightInd w:val="0"/>
        <w:snapToGrid w:val="0"/>
        <w:spacing w:line="360" w:lineRule="auto"/>
        <w:ind w:firstLine="560" w:firstLineChars="200"/>
        <w:rPr>
          <w:rFonts w:hint="eastAsia" w:ascii="宋体"/>
          <w:sz w:val="28"/>
          <w:lang w:eastAsia="zh-CN"/>
        </w:rPr>
      </w:pPr>
      <w:r>
        <w:rPr>
          <w:rFonts w:hint="eastAsia" w:ascii="宋体"/>
          <w:sz w:val="28"/>
          <w:lang w:val="en-US" w:eastAsia="zh-CN"/>
        </w:rPr>
        <w:t>1.</w:t>
      </w:r>
      <w:r>
        <w:rPr>
          <w:rFonts w:hint="eastAsia" w:ascii="宋体"/>
          <w:sz w:val="28"/>
        </w:rPr>
        <w:t>市场调查资料</w:t>
      </w:r>
      <w:r>
        <w:rPr>
          <w:rFonts w:hint="eastAsia" w:ascii="宋体"/>
          <w:sz w:val="28"/>
          <w:lang w:eastAsia="zh-CN"/>
        </w:rPr>
        <w:t>；</w:t>
      </w:r>
    </w:p>
    <w:p>
      <w:pPr>
        <w:numPr>
          <w:ilvl w:val="0"/>
          <w:numId w:val="0"/>
        </w:numPr>
        <w:adjustRightInd w:val="0"/>
        <w:snapToGrid w:val="0"/>
        <w:spacing w:line="360" w:lineRule="auto"/>
        <w:ind w:firstLine="560"/>
        <w:rPr>
          <w:rFonts w:hint="eastAsia" w:ascii="宋体"/>
          <w:sz w:val="28"/>
          <w:lang w:val="en-US" w:eastAsia="zh-CN"/>
        </w:rPr>
      </w:pPr>
      <w:r>
        <w:rPr>
          <w:rFonts w:hint="eastAsia" w:ascii="宋体"/>
          <w:sz w:val="28"/>
          <w:lang w:val="en-US" w:eastAsia="zh-CN"/>
        </w:rPr>
        <w:t>2.现场勘验记录；</w:t>
      </w:r>
    </w:p>
    <w:p>
      <w:pPr>
        <w:numPr>
          <w:ilvl w:val="0"/>
          <w:numId w:val="0"/>
        </w:numPr>
        <w:adjustRightInd w:val="0"/>
        <w:snapToGrid w:val="0"/>
        <w:spacing w:line="360" w:lineRule="auto"/>
        <w:ind w:firstLine="560"/>
        <w:rPr>
          <w:rFonts w:hint="default" w:ascii="宋体"/>
          <w:sz w:val="28"/>
          <w:lang w:val="en-US" w:eastAsia="zh-CN"/>
        </w:rPr>
      </w:pPr>
      <w:r>
        <w:rPr>
          <w:rFonts w:hint="eastAsia" w:ascii="宋体"/>
          <w:sz w:val="28"/>
          <w:lang w:val="en-US" w:eastAsia="zh-CN"/>
        </w:rPr>
        <w:t>3.质量鉴定咨询意见书。</w:t>
      </w:r>
    </w:p>
    <w:p>
      <w:pPr>
        <w:adjustRightInd w:val="0"/>
        <w:snapToGrid w:val="0"/>
        <w:spacing w:line="360" w:lineRule="auto"/>
        <w:ind w:firstLine="220" w:firstLineChars="200"/>
        <w:rPr>
          <w:rFonts w:hint="default" w:ascii="宋体"/>
          <w:sz w:val="11"/>
          <w:szCs w:val="11"/>
        </w:rPr>
      </w:pPr>
    </w:p>
    <w:p>
      <w:pPr>
        <w:numPr>
          <w:ilvl w:val="0"/>
          <w:numId w:val="1"/>
        </w:numPr>
        <w:adjustRightInd w:val="0"/>
        <w:snapToGrid w:val="0"/>
        <w:spacing w:line="360" w:lineRule="auto"/>
        <w:rPr>
          <w:rFonts w:hint="default" w:ascii="宋体"/>
          <w:b/>
          <w:sz w:val="28"/>
        </w:rPr>
      </w:pPr>
      <w:r>
        <w:rPr>
          <w:rFonts w:hint="eastAsia" w:ascii="宋体"/>
          <w:b/>
          <w:sz w:val="28"/>
        </w:rPr>
        <w:t>价格评估方法</w:t>
      </w:r>
    </w:p>
    <w:p>
      <w:pPr>
        <w:adjustRightInd w:val="0"/>
        <w:snapToGrid w:val="0"/>
        <w:spacing w:line="360" w:lineRule="auto"/>
        <w:ind w:firstLine="560" w:firstLineChars="200"/>
        <w:rPr>
          <w:rFonts w:hint="eastAsia" w:ascii="宋体" w:cs="宋体"/>
          <w:sz w:val="28"/>
          <w:szCs w:val="28"/>
        </w:rPr>
      </w:pPr>
      <w:r>
        <w:rPr>
          <w:rFonts w:hint="eastAsia" w:ascii="宋体" w:cs="宋体"/>
          <w:sz w:val="28"/>
          <w:szCs w:val="28"/>
        </w:rPr>
        <w:t>本次价格评估采用的评估方法为</w:t>
      </w:r>
      <w:r>
        <w:rPr>
          <w:rFonts w:hint="eastAsia" w:ascii="宋体" w:cs="宋体"/>
          <w:sz w:val="28"/>
          <w:szCs w:val="28"/>
          <w:lang w:eastAsia="zh-CN"/>
        </w:rPr>
        <w:t>专家咨询法、市场比较法</w:t>
      </w:r>
      <w:r>
        <w:rPr>
          <w:rFonts w:hint="eastAsia" w:ascii="宋体" w:cs="宋体"/>
          <w:sz w:val="28"/>
          <w:szCs w:val="28"/>
        </w:rPr>
        <w:t>。</w:t>
      </w:r>
    </w:p>
    <w:p>
      <w:pPr>
        <w:adjustRightInd w:val="0"/>
        <w:snapToGrid w:val="0"/>
        <w:spacing w:line="360" w:lineRule="auto"/>
        <w:ind w:firstLine="560" w:firstLineChars="200"/>
        <w:rPr>
          <w:rFonts w:hint="default" w:ascii="宋体" w:cs="宋体"/>
          <w:sz w:val="28"/>
          <w:szCs w:val="28"/>
        </w:rPr>
      </w:pPr>
      <w:r>
        <w:rPr>
          <w:rFonts w:hint="eastAsia" w:ascii="宋体"/>
          <w:sz w:val="28"/>
        </w:rPr>
        <w:t>专家咨询法：是选择2名以上单数专家，分别独立对价格评估标的的价格给出意见或建议，价格评估人员运用统计分析方法对专家意见或建议进行分析处理，得到评估标的价格的各种技术方法的总称。</w:t>
      </w:r>
    </w:p>
    <w:p>
      <w:pPr>
        <w:adjustRightInd w:val="0"/>
        <w:snapToGrid w:val="0"/>
        <w:spacing w:line="360" w:lineRule="auto"/>
        <w:ind w:firstLine="560" w:firstLineChars="200"/>
        <w:rPr>
          <w:rFonts w:hint="eastAsia" w:ascii="宋体"/>
          <w:sz w:val="28"/>
        </w:rPr>
      </w:pPr>
      <w:r>
        <w:rPr>
          <w:rFonts w:hint="eastAsia" w:ascii="宋体"/>
          <w:sz w:val="28"/>
        </w:rPr>
        <w:t>市场比较法：是指利用市场上同样或类似标的的近期交易价格，经过直接比较或类比分析得到评估标的价格的各种技术方法的总称。</w:t>
      </w:r>
    </w:p>
    <w:p>
      <w:pPr>
        <w:adjustRightInd w:val="0"/>
        <w:snapToGrid w:val="0"/>
        <w:spacing w:line="360" w:lineRule="auto"/>
        <w:rPr>
          <w:rFonts w:hint="default" w:ascii="宋体"/>
          <w:sz w:val="16"/>
        </w:rPr>
      </w:pPr>
    </w:p>
    <w:p>
      <w:pPr>
        <w:numPr>
          <w:ilvl w:val="0"/>
          <w:numId w:val="1"/>
        </w:numPr>
        <w:adjustRightInd w:val="0"/>
        <w:snapToGrid w:val="0"/>
        <w:spacing w:line="360" w:lineRule="auto"/>
        <w:rPr>
          <w:rFonts w:hint="default" w:ascii="宋体"/>
          <w:b/>
          <w:sz w:val="28"/>
        </w:rPr>
      </w:pPr>
      <w:r>
        <w:rPr>
          <w:rFonts w:hint="eastAsia" w:ascii="宋体"/>
          <w:b/>
          <w:sz w:val="28"/>
        </w:rPr>
        <w:t>价格评估过程</w:t>
      </w:r>
    </w:p>
    <w:p>
      <w:pPr>
        <w:pStyle w:val="2"/>
        <w:numPr>
          <w:ilvl w:val="0"/>
          <w:numId w:val="0"/>
        </w:numPr>
        <w:adjustRightInd w:val="0"/>
        <w:snapToGrid w:val="0"/>
        <w:ind w:firstLine="560" w:firstLineChars="200"/>
        <w:rPr>
          <w:rFonts w:hint="eastAsia"/>
          <w:lang w:val="en-US" w:eastAsia="zh-CN"/>
        </w:rPr>
      </w:pPr>
      <w:r>
        <w:rPr>
          <w:rFonts w:hint="eastAsia"/>
        </w:rPr>
        <w:t>我</w:t>
      </w:r>
      <w:r>
        <w:rPr>
          <w:rFonts w:hint="eastAsia"/>
          <w:lang w:eastAsia="zh-CN"/>
        </w:rPr>
        <w:t>公司</w:t>
      </w:r>
      <w:r>
        <w:rPr>
          <w:rFonts w:hint="eastAsia"/>
        </w:rPr>
        <w:t>接受委托后，</w:t>
      </w:r>
      <w:r>
        <w:rPr>
          <w:rFonts w:hint="eastAsia"/>
          <w:lang w:eastAsia="zh-CN"/>
        </w:rPr>
        <w:t>根据评估标的的特点，组织价格评估专业小组</w:t>
      </w:r>
      <w:r>
        <w:rPr>
          <w:rFonts w:hint="eastAsia"/>
        </w:rPr>
        <w:t>，制定了</w:t>
      </w:r>
      <w:r>
        <w:rPr>
          <w:rFonts w:hint="eastAsia"/>
          <w:lang w:eastAsia="zh-CN"/>
        </w:rPr>
        <w:t>价格评估</w:t>
      </w:r>
      <w:r>
        <w:rPr>
          <w:rFonts w:hint="eastAsia"/>
        </w:rPr>
        <w:t>作业方案。</w:t>
      </w:r>
      <w:r>
        <w:rPr>
          <w:rFonts w:hint="eastAsia"/>
          <w:lang w:eastAsia="zh-CN"/>
        </w:rPr>
        <w:t>本次价格评估标的有实物。价格</w:t>
      </w:r>
      <w:r>
        <w:rPr>
          <w:rFonts w:hint="eastAsia"/>
        </w:rPr>
        <w:t>评估专业人员会同委托方</w:t>
      </w:r>
      <w:r>
        <w:rPr>
          <w:rFonts w:hint="eastAsia"/>
          <w:lang w:eastAsia="zh-CN"/>
        </w:rPr>
        <w:t>先后</w:t>
      </w:r>
      <w:r>
        <w:rPr>
          <w:rFonts w:hint="eastAsia"/>
        </w:rPr>
        <w:t>于201</w:t>
      </w:r>
      <w:r>
        <w:rPr>
          <w:rFonts w:hint="eastAsia"/>
          <w:lang w:val="en-US" w:eastAsia="zh-CN"/>
        </w:rPr>
        <w:t>9</w:t>
      </w:r>
      <w:r>
        <w:rPr>
          <w:rFonts w:hint="eastAsia"/>
        </w:rPr>
        <w:t>年</w:t>
      </w:r>
      <w:r>
        <w:rPr>
          <w:rFonts w:hint="eastAsia"/>
          <w:lang w:val="en-US" w:eastAsia="zh-CN"/>
        </w:rPr>
        <w:t>12</w:t>
      </w:r>
      <w:r>
        <w:rPr>
          <w:rFonts w:hint="eastAsia"/>
        </w:rPr>
        <w:t>月</w:t>
      </w:r>
      <w:r>
        <w:rPr>
          <w:rFonts w:hint="eastAsia"/>
          <w:lang w:val="en-US" w:eastAsia="zh-CN"/>
        </w:rPr>
        <w:t>3</w:t>
      </w:r>
      <w:r>
        <w:rPr>
          <w:rFonts w:hint="eastAsia"/>
        </w:rPr>
        <w:t>日</w:t>
      </w:r>
      <w:r>
        <w:rPr>
          <w:rFonts w:hint="eastAsia"/>
          <w:lang w:eastAsia="zh-CN"/>
        </w:rPr>
        <w:t>、</w:t>
      </w:r>
      <w:r>
        <w:rPr>
          <w:rFonts w:hint="eastAsia"/>
          <w:lang w:val="en-US" w:eastAsia="zh-CN"/>
        </w:rPr>
        <w:t>12月10日、12月31日，依次前往沈阳市中院物证室、鞍山市东亚第一城小区、保利四方小区、宝玉石检测中心实验室等地</w:t>
      </w:r>
      <w:r>
        <w:rPr>
          <w:rFonts w:hint="eastAsia"/>
        </w:rPr>
        <w:t>对标的进行勘验、照相、记录，并依据委托方提供的委托书，明确本次价格评估标的为：</w:t>
      </w:r>
      <w:r>
        <w:rPr>
          <w:rFonts w:hint="eastAsia" w:ascii="宋体" w:hAnsi="宋体" w:cs="宋体"/>
          <w:color w:val="000000"/>
          <w:sz w:val="28"/>
          <w:lang w:eastAsia="zh-CN"/>
        </w:rPr>
        <w:t>被执行人所有的动产</w:t>
      </w:r>
      <w:r>
        <w:rPr>
          <w:rFonts w:hint="eastAsia"/>
          <w:lang w:val="en-US" w:eastAsia="zh-CN"/>
        </w:rPr>
        <w:t>。（详见《价格评估报告明细表》）</w:t>
      </w:r>
    </w:p>
    <w:p>
      <w:pPr>
        <w:pStyle w:val="2"/>
        <w:numPr>
          <w:ilvl w:val="0"/>
          <w:numId w:val="6"/>
        </w:numPr>
        <w:adjustRightInd w:val="0"/>
        <w:snapToGrid w:val="0"/>
        <w:ind w:firstLine="560" w:firstLineChars="200"/>
        <w:rPr>
          <w:rFonts w:hint="eastAsia"/>
          <w:lang w:val="en-US" w:eastAsia="zh-CN"/>
        </w:rPr>
      </w:pPr>
      <w:r>
        <w:rPr>
          <w:rFonts w:hint="eastAsia"/>
          <w:lang w:val="en-US" w:eastAsia="zh-CN"/>
        </w:rPr>
        <w:t>杂项物品类</w:t>
      </w:r>
    </w:p>
    <w:p>
      <w:pPr>
        <w:pStyle w:val="2"/>
        <w:numPr>
          <w:ilvl w:val="0"/>
          <w:numId w:val="7"/>
        </w:numPr>
        <w:adjustRightInd w:val="0"/>
        <w:snapToGrid w:val="0"/>
        <w:ind w:left="0" w:leftChars="0" w:firstLine="560" w:firstLineChars="200"/>
        <w:rPr>
          <w:rFonts w:hint="eastAsia"/>
          <w:lang w:val="en-US" w:eastAsia="zh-CN"/>
        </w:rPr>
      </w:pPr>
      <w:r>
        <w:rPr>
          <w:rFonts w:hint="eastAsia"/>
          <w:lang w:val="en-US" w:eastAsia="zh-CN"/>
        </w:rPr>
        <w:t>移动硬盘，品牌：联想，存储：1T，接口，USB3.0，已使用，无配套数据线；</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单反相机</w:t>
      </w:r>
      <w:r>
        <w:rPr>
          <w:rFonts w:hint="eastAsia"/>
          <w:lang w:val="en-US" w:eastAsia="zh-CN"/>
        </w:rPr>
        <w:t>，品牌：尼康，型号：D7100，镜头：0.45/1.48 ft φ67mm，已使用，勘验时电量不足无法开机；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平板电脑</w:t>
      </w:r>
      <w:r>
        <w:rPr>
          <w:rFonts w:hint="eastAsia"/>
          <w:lang w:val="en-US" w:eastAsia="zh-CN"/>
        </w:rPr>
        <w:t>，品牌：小米，型号：2015716，存储：64GB，已使用，无配套充电设备，勘验时电量不足无法开机；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平板电脑</w:t>
      </w:r>
      <w:r>
        <w:rPr>
          <w:rFonts w:hint="eastAsia"/>
          <w:lang w:val="en-US" w:eastAsia="zh-CN"/>
        </w:rPr>
        <w:t>，品牌：华为荣耀，型号：T1-A23L，已使用，无配套充电设备，勘验时电量不足无法开机；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平板电脑</w:t>
      </w:r>
      <w:r>
        <w:rPr>
          <w:rFonts w:hint="eastAsia"/>
          <w:lang w:val="en-US" w:eastAsia="zh-CN"/>
        </w:rPr>
        <w:t>，PC平板二合一电脑，品牌：中柏，型号：EZpad5SE，已使用，无配套充电设备，勘验时电量不足无法开机；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笔记本电脑</w:t>
      </w:r>
      <w:r>
        <w:rPr>
          <w:rFonts w:hint="eastAsia"/>
          <w:lang w:val="en-US" w:eastAsia="zh-CN"/>
        </w:rPr>
        <w:t>，品牌：惠普，型号：PRO BOOK 4416S，已使用，无配套充电设备，勘验时电量不足无法开机；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移动硬盘</w:t>
      </w:r>
      <w:r>
        <w:rPr>
          <w:rFonts w:hint="eastAsia"/>
          <w:lang w:val="en-US" w:eastAsia="zh-CN"/>
        </w:rPr>
        <w:t>，品牌：蓝硕，型号：BS-U35SPA，已使用，无配套数据线；</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无线热点</w:t>
      </w:r>
      <w:r>
        <w:rPr>
          <w:rFonts w:hint="eastAsia"/>
          <w:lang w:val="en-US" w:eastAsia="zh-CN"/>
        </w:rPr>
        <w:t>，品牌:吉客猫；型号：G2，已使用，勘验时电量不足无法开机；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手机</w:t>
      </w:r>
      <w:r>
        <w:rPr>
          <w:rFonts w:hint="eastAsia"/>
          <w:lang w:val="en-US" w:eastAsia="zh-CN"/>
        </w:rPr>
        <w:t>，品牌：三星，金色，移动4G定制机，已使用，无配套充电设备，勘验时电量不足无法开机；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手机</w:t>
      </w:r>
      <w:r>
        <w:rPr>
          <w:rFonts w:hint="eastAsia"/>
          <w:lang w:val="en-US" w:eastAsia="zh-CN"/>
        </w:rPr>
        <w:t>，品牌：小米，金色，型号：2016070，已使用，无配套充电设备，勘验时电量不足无法开机；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手机</w:t>
      </w:r>
      <w:r>
        <w:rPr>
          <w:rFonts w:hint="eastAsia"/>
          <w:lang w:val="en-US" w:eastAsia="zh-CN"/>
        </w:rPr>
        <w:t>，品牌：三星，黑色，型号：SM-A7000，已使用，无配套充电设备，勘验时电量不足无法开机；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手机</w:t>
      </w:r>
      <w:r>
        <w:rPr>
          <w:rFonts w:hint="eastAsia"/>
          <w:lang w:val="en-US" w:eastAsia="zh-CN"/>
        </w:rPr>
        <w:t>，品牌：小米，型号：2014813，已使用，无配套充电设备，勘验时电量不足无法开机；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手机</w:t>
      </w:r>
      <w:r>
        <w:rPr>
          <w:rFonts w:hint="eastAsia"/>
          <w:lang w:val="en-US" w:eastAsia="zh-CN"/>
        </w:rPr>
        <w:t>，品牌：KM2，老年机，已使用，无配套充电设备，勘验时电量不足无法开机；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纪念币</w:t>
      </w:r>
      <w:r>
        <w:rPr>
          <w:rFonts w:hint="eastAsia"/>
          <w:lang w:val="en-US" w:eastAsia="zh-CN"/>
        </w:rPr>
        <w:t>，4枚，抗战胜利70周年纪念币；面值1元；有证书带包装；</w:t>
      </w:r>
    </w:p>
    <w:p>
      <w:pPr>
        <w:pStyle w:val="2"/>
        <w:numPr>
          <w:ilvl w:val="0"/>
          <w:numId w:val="7"/>
        </w:numPr>
        <w:adjustRightInd w:val="0"/>
        <w:snapToGrid w:val="0"/>
        <w:ind w:left="0" w:leftChars="0" w:firstLine="560" w:firstLineChars="200"/>
        <w:rPr>
          <w:rFonts w:hint="default"/>
          <w:lang w:val="en-US" w:eastAsia="zh-CN"/>
        </w:rPr>
      </w:pPr>
      <w:r>
        <w:rPr>
          <w:rFonts w:hint="eastAsia"/>
          <w:lang w:val="en-US" w:eastAsia="zh-CN"/>
        </w:rPr>
        <w:t>纪念币，6枚，2016猴年纪念币；面值10元；有证书带包装；</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无线POS机</w:t>
      </w:r>
      <w:r>
        <w:rPr>
          <w:rFonts w:hint="eastAsia"/>
          <w:lang w:val="en-US" w:eastAsia="zh-CN"/>
        </w:rPr>
        <w:t>，品牌：百富，型号：S910，已使用，无配套充电设备，勘验时电量不足无法开机；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无线POS机</w:t>
      </w:r>
      <w:r>
        <w:rPr>
          <w:rFonts w:hint="eastAsia"/>
          <w:lang w:val="en-US" w:eastAsia="zh-CN"/>
        </w:rPr>
        <w:t>，品牌：新国都，型号：G2，已使用，无配套充电设备，勘验时电量不足无法开机；</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无线网卡</w:t>
      </w:r>
      <w:r>
        <w:rPr>
          <w:rFonts w:hint="eastAsia"/>
          <w:lang w:val="en-US" w:eastAsia="zh-CN"/>
        </w:rPr>
        <w:t>，品牌：T，型号：TL-WN726N，已使用；</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无线数据终端</w:t>
      </w:r>
      <w:r>
        <w:rPr>
          <w:rFonts w:hint="eastAsia"/>
          <w:lang w:val="en-US" w:eastAsia="zh-CN"/>
        </w:rPr>
        <w:t>，品牌：飞利浦，型号：PAC03X，移动定制，已使用，无配套电源设备；</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U盾</w:t>
      </w:r>
      <w:r>
        <w:rPr>
          <w:rFonts w:hint="eastAsia"/>
          <w:lang w:val="en-US" w:eastAsia="zh-CN"/>
        </w:rPr>
        <w:t>，5个，建设银行U盾，无配套银行卡；</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U盾</w:t>
      </w:r>
      <w:r>
        <w:rPr>
          <w:rFonts w:hint="eastAsia"/>
          <w:lang w:val="en-US" w:eastAsia="zh-CN"/>
        </w:rPr>
        <w:t>，2个，工商银行U盾，无配套银行卡；</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U盾</w:t>
      </w:r>
      <w:r>
        <w:rPr>
          <w:rFonts w:hint="eastAsia"/>
          <w:lang w:val="en-US" w:eastAsia="zh-CN"/>
        </w:rPr>
        <w:t>，盛京银行U盾，无配套银行卡；</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U盾</w:t>
      </w:r>
      <w:r>
        <w:rPr>
          <w:rFonts w:hint="eastAsia"/>
          <w:lang w:val="en-US" w:eastAsia="zh-CN"/>
        </w:rPr>
        <w:t>，农业银行U盾，无配套银行卡；</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U盾</w:t>
      </w:r>
      <w:r>
        <w:rPr>
          <w:rFonts w:hint="eastAsia"/>
          <w:lang w:val="en-US" w:eastAsia="zh-CN"/>
        </w:rPr>
        <w:t>，鞍山银行U盾，无配套银行卡；</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U盾</w:t>
      </w:r>
      <w:r>
        <w:rPr>
          <w:rFonts w:hint="eastAsia"/>
          <w:lang w:val="en-US" w:eastAsia="zh-CN"/>
        </w:rPr>
        <w:t>，招商银行U盾，无配套银行卡；</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U盘</w:t>
      </w:r>
      <w:r>
        <w:rPr>
          <w:rFonts w:hint="eastAsia"/>
          <w:lang w:val="en-US" w:eastAsia="zh-CN"/>
        </w:rPr>
        <w:t>，品牌：BANQ，存储32G，已使用；</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U盘</w:t>
      </w:r>
      <w:r>
        <w:rPr>
          <w:rFonts w:hint="eastAsia"/>
          <w:lang w:val="en-US" w:eastAsia="zh-CN"/>
        </w:rPr>
        <w:t>，品牌：BANQ，存储256G，已使用；</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存储卡转换器</w:t>
      </w:r>
      <w:r>
        <w:rPr>
          <w:rFonts w:hint="eastAsia"/>
          <w:lang w:val="en-US" w:eastAsia="zh-CN"/>
        </w:rPr>
        <w:t>，SD卡转化器，已使用；</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记事本</w:t>
      </w:r>
      <w:r>
        <w:rPr>
          <w:rFonts w:hint="eastAsia"/>
          <w:lang w:val="en-US" w:eastAsia="zh-CN"/>
        </w:rPr>
        <w:t>，已使用记载信息；</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印章</w:t>
      </w:r>
      <w:r>
        <w:rPr>
          <w:rFonts w:hint="eastAsia"/>
          <w:lang w:val="en-US" w:eastAsia="zh-CN"/>
        </w:rPr>
        <w:t>，公司印章（合同章，财务章，发票章，人名章，条形章等），已使用；</w:t>
      </w:r>
    </w:p>
    <w:p>
      <w:pPr>
        <w:pStyle w:val="2"/>
        <w:numPr>
          <w:ilvl w:val="0"/>
          <w:numId w:val="7"/>
        </w:numPr>
        <w:adjustRightInd w:val="0"/>
        <w:snapToGrid w:val="0"/>
        <w:ind w:left="0" w:leftChars="0" w:firstLine="560" w:firstLineChars="200"/>
        <w:rPr>
          <w:rFonts w:hint="default"/>
          <w:lang w:val="en-US" w:eastAsia="zh-CN"/>
        </w:rPr>
      </w:pPr>
      <w:r>
        <w:rPr>
          <w:rFonts w:hint="default"/>
          <w:lang w:val="en-US" w:eastAsia="zh-CN"/>
        </w:rPr>
        <w:t>电脑主机箱</w:t>
      </w:r>
      <w:r>
        <w:rPr>
          <w:rFonts w:hint="eastAsia"/>
          <w:lang w:val="en-US" w:eastAsia="zh-CN"/>
        </w:rPr>
        <w:t>，2个，爱国者组装机箱，已使用。</w:t>
      </w:r>
    </w:p>
    <w:p>
      <w:pPr>
        <w:pStyle w:val="2"/>
        <w:numPr>
          <w:ilvl w:val="0"/>
          <w:numId w:val="6"/>
        </w:numPr>
        <w:adjustRightInd w:val="0"/>
        <w:snapToGrid w:val="0"/>
        <w:ind w:left="0" w:leftChars="0" w:firstLine="560" w:firstLineChars="200"/>
        <w:rPr>
          <w:rFonts w:hint="eastAsia"/>
          <w:lang w:val="en-US" w:eastAsia="zh-CN"/>
        </w:rPr>
      </w:pPr>
      <w:r>
        <w:rPr>
          <w:rFonts w:hint="eastAsia"/>
          <w:lang w:val="en-US" w:eastAsia="zh-CN"/>
        </w:rPr>
        <w:t>家具电器类</w:t>
      </w:r>
    </w:p>
    <w:p>
      <w:pPr>
        <w:pStyle w:val="2"/>
        <w:numPr>
          <w:ilvl w:val="0"/>
          <w:numId w:val="8"/>
        </w:numPr>
        <w:adjustRightInd w:val="0"/>
        <w:snapToGrid w:val="0"/>
        <w:ind w:firstLine="560" w:firstLineChars="200"/>
        <w:rPr>
          <w:rFonts w:hint="eastAsia"/>
          <w:lang w:val="en-US" w:eastAsia="zh-CN"/>
        </w:rPr>
      </w:pPr>
      <w:r>
        <w:rPr>
          <w:rFonts w:hint="eastAsia"/>
          <w:lang w:val="en-US" w:eastAsia="zh-CN"/>
        </w:rPr>
        <w:t>电视机，55寸液晶电视机，品牌：三星，型号：UA55JU5910JXXZ，已使用；</w:t>
      </w:r>
    </w:p>
    <w:p>
      <w:pPr>
        <w:pStyle w:val="2"/>
        <w:numPr>
          <w:ilvl w:val="0"/>
          <w:numId w:val="8"/>
        </w:numPr>
        <w:adjustRightInd w:val="0"/>
        <w:snapToGrid w:val="0"/>
        <w:ind w:firstLine="560" w:firstLineChars="200"/>
        <w:rPr>
          <w:rFonts w:hint="default"/>
          <w:lang w:val="en-US" w:eastAsia="zh-CN"/>
        </w:rPr>
      </w:pPr>
      <w:r>
        <w:rPr>
          <w:rFonts w:hint="eastAsia"/>
          <w:lang w:val="en-US" w:eastAsia="zh-CN"/>
        </w:rPr>
        <w:t>电视机，32寸液晶电视机，品牌：三星，型号：UA32J4088AJXXZ，已使用；</w:t>
      </w:r>
    </w:p>
    <w:p>
      <w:pPr>
        <w:pStyle w:val="2"/>
        <w:numPr>
          <w:ilvl w:val="0"/>
          <w:numId w:val="8"/>
        </w:numPr>
        <w:adjustRightInd w:val="0"/>
        <w:snapToGrid w:val="0"/>
        <w:ind w:firstLine="560" w:firstLineChars="200"/>
        <w:rPr>
          <w:rFonts w:hint="default"/>
          <w:lang w:val="en-US" w:eastAsia="zh-CN"/>
        </w:rPr>
      </w:pPr>
      <w:r>
        <w:rPr>
          <w:rFonts w:hint="eastAsia"/>
          <w:lang w:val="en-US" w:eastAsia="zh-CN"/>
        </w:rPr>
        <w:t>电视机，32寸液晶电视机，品牌：三星，型号：UA32J4088AJXXZ，已使用；</w:t>
      </w:r>
    </w:p>
    <w:p>
      <w:pPr>
        <w:pStyle w:val="2"/>
        <w:numPr>
          <w:ilvl w:val="0"/>
          <w:numId w:val="8"/>
        </w:numPr>
        <w:adjustRightInd w:val="0"/>
        <w:snapToGrid w:val="0"/>
        <w:ind w:firstLine="560" w:firstLineChars="200"/>
        <w:rPr>
          <w:rFonts w:hint="default"/>
          <w:lang w:val="en-US" w:eastAsia="zh-CN"/>
        </w:rPr>
      </w:pPr>
      <w:r>
        <w:rPr>
          <w:rFonts w:hint="default"/>
          <w:lang w:val="en-US" w:eastAsia="zh-CN"/>
        </w:rPr>
        <w:t>空调</w:t>
      </w:r>
      <w:r>
        <w:rPr>
          <w:rFonts w:hint="eastAsia"/>
          <w:lang w:val="en-US" w:eastAsia="zh-CN"/>
        </w:rPr>
        <w:t>，立式空调，品牌：美的，型号：KFR-72LW/BP2DN1Y-LB,已使用；</w:t>
      </w:r>
    </w:p>
    <w:p>
      <w:pPr>
        <w:pStyle w:val="2"/>
        <w:numPr>
          <w:ilvl w:val="0"/>
          <w:numId w:val="8"/>
        </w:numPr>
        <w:adjustRightInd w:val="0"/>
        <w:snapToGrid w:val="0"/>
        <w:ind w:firstLine="560" w:firstLineChars="200"/>
        <w:rPr>
          <w:rFonts w:hint="default"/>
          <w:lang w:val="en-US" w:eastAsia="zh-CN"/>
        </w:rPr>
      </w:pPr>
      <w:r>
        <w:rPr>
          <w:rFonts w:hint="default"/>
          <w:lang w:val="en-US" w:eastAsia="zh-CN"/>
        </w:rPr>
        <w:t>空调</w:t>
      </w:r>
      <w:r>
        <w:rPr>
          <w:rFonts w:hint="eastAsia"/>
          <w:lang w:val="en-US" w:eastAsia="zh-CN"/>
        </w:rPr>
        <w:t>，挂式空调，品牌：美的，型号：KFR-26GW/BP2DN1Y-PC400,已使用；</w:t>
      </w:r>
    </w:p>
    <w:p>
      <w:pPr>
        <w:pStyle w:val="2"/>
        <w:numPr>
          <w:ilvl w:val="0"/>
          <w:numId w:val="8"/>
        </w:numPr>
        <w:adjustRightInd w:val="0"/>
        <w:snapToGrid w:val="0"/>
        <w:ind w:firstLine="560" w:firstLineChars="200"/>
        <w:rPr>
          <w:rFonts w:hint="default"/>
          <w:lang w:val="en-US" w:eastAsia="zh-CN"/>
        </w:rPr>
      </w:pPr>
      <w:r>
        <w:rPr>
          <w:rFonts w:hint="default"/>
          <w:lang w:val="en-US" w:eastAsia="zh-CN"/>
        </w:rPr>
        <w:t>空调</w:t>
      </w:r>
      <w:r>
        <w:rPr>
          <w:rFonts w:hint="eastAsia"/>
          <w:lang w:val="en-US" w:eastAsia="zh-CN"/>
        </w:rPr>
        <w:t>，挂式空调，品牌：志高，型号：KFR-25GW/D96+N3，已使用；</w:t>
      </w:r>
    </w:p>
    <w:p>
      <w:pPr>
        <w:pStyle w:val="2"/>
        <w:numPr>
          <w:ilvl w:val="0"/>
          <w:numId w:val="8"/>
        </w:numPr>
        <w:adjustRightInd w:val="0"/>
        <w:snapToGrid w:val="0"/>
        <w:ind w:firstLine="560" w:firstLineChars="200"/>
        <w:rPr>
          <w:rFonts w:hint="default"/>
          <w:lang w:val="en-US" w:eastAsia="zh-CN"/>
        </w:rPr>
      </w:pPr>
      <w:r>
        <w:rPr>
          <w:rFonts w:hint="default"/>
          <w:lang w:val="en-US" w:eastAsia="zh-CN"/>
        </w:rPr>
        <w:t>冰箱</w:t>
      </w:r>
      <w:r>
        <w:rPr>
          <w:rFonts w:hint="eastAsia"/>
          <w:lang w:val="en-US" w:eastAsia="zh-CN"/>
        </w:rPr>
        <w:t>，品牌：美的，型号：BCD-176SQMK，已使用；</w:t>
      </w:r>
    </w:p>
    <w:p>
      <w:pPr>
        <w:pStyle w:val="2"/>
        <w:numPr>
          <w:ilvl w:val="0"/>
          <w:numId w:val="8"/>
        </w:numPr>
        <w:adjustRightInd w:val="0"/>
        <w:snapToGrid w:val="0"/>
        <w:ind w:firstLine="560" w:firstLineChars="200"/>
        <w:rPr>
          <w:rFonts w:hint="default"/>
          <w:lang w:val="en-US" w:eastAsia="zh-CN"/>
        </w:rPr>
      </w:pPr>
      <w:r>
        <w:rPr>
          <w:rFonts w:hint="default"/>
          <w:lang w:val="en-US" w:eastAsia="zh-CN"/>
        </w:rPr>
        <w:t>餐桌椅</w:t>
      </w:r>
      <w:r>
        <w:rPr>
          <w:rFonts w:hint="eastAsia"/>
          <w:lang w:val="en-US" w:eastAsia="zh-CN"/>
        </w:rPr>
        <w:t>，品牌：卓菲，理石台面餐桌；餐桌尺寸：1.3米*0.8米，高0.75米；餐椅4把，尺寸：0.55米*0.55米，高1米；已使用；</w:t>
      </w:r>
    </w:p>
    <w:p>
      <w:pPr>
        <w:pStyle w:val="2"/>
        <w:numPr>
          <w:ilvl w:val="0"/>
          <w:numId w:val="8"/>
        </w:numPr>
        <w:adjustRightInd w:val="0"/>
        <w:snapToGrid w:val="0"/>
        <w:ind w:firstLine="560" w:firstLineChars="200"/>
        <w:rPr>
          <w:rFonts w:hint="default"/>
          <w:lang w:val="en-US" w:eastAsia="zh-CN"/>
        </w:rPr>
      </w:pPr>
      <w:r>
        <w:rPr>
          <w:rFonts w:hint="default"/>
          <w:lang w:val="en-US" w:eastAsia="zh-CN"/>
        </w:rPr>
        <w:t>沙发</w:t>
      </w:r>
      <w:r>
        <w:rPr>
          <w:rFonts w:hint="eastAsia"/>
          <w:lang w:val="en-US" w:eastAsia="zh-CN"/>
        </w:rPr>
        <w:t>，皮质沙发，1人位+2人位+贵妃位，整体长3.7米；已使用；</w:t>
      </w:r>
    </w:p>
    <w:p>
      <w:pPr>
        <w:pStyle w:val="2"/>
        <w:numPr>
          <w:ilvl w:val="0"/>
          <w:numId w:val="8"/>
        </w:numPr>
        <w:adjustRightInd w:val="0"/>
        <w:snapToGrid w:val="0"/>
        <w:ind w:firstLine="560" w:firstLineChars="200"/>
        <w:rPr>
          <w:rFonts w:hint="default"/>
          <w:lang w:val="en-US" w:eastAsia="zh-CN"/>
        </w:rPr>
      </w:pPr>
      <w:r>
        <w:rPr>
          <w:rFonts w:hint="default"/>
          <w:lang w:val="en-US" w:eastAsia="zh-CN"/>
        </w:rPr>
        <w:t>茶几</w:t>
      </w:r>
      <w:r>
        <w:rPr>
          <w:rFonts w:hint="eastAsia"/>
          <w:lang w:val="en-US" w:eastAsia="zh-CN"/>
        </w:rPr>
        <w:t>，木质理石台面茶几，品牌：成都源丰达，尺寸：1.3米*0.7米*0.4米；已使用；</w:t>
      </w:r>
    </w:p>
    <w:p>
      <w:pPr>
        <w:pStyle w:val="2"/>
        <w:numPr>
          <w:ilvl w:val="0"/>
          <w:numId w:val="8"/>
        </w:numPr>
        <w:adjustRightInd w:val="0"/>
        <w:snapToGrid w:val="0"/>
        <w:ind w:firstLine="560" w:firstLineChars="200"/>
        <w:rPr>
          <w:rFonts w:hint="default"/>
          <w:lang w:val="en-US" w:eastAsia="zh-CN"/>
        </w:rPr>
      </w:pPr>
      <w:r>
        <w:rPr>
          <w:rFonts w:hint="default"/>
          <w:lang w:val="en-US" w:eastAsia="zh-CN"/>
        </w:rPr>
        <w:t>显示器</w:t>
      </w:r>
      <w:r>
        <w:rPr>
          <w:rFonts w:hint="eastAsia"/>
          <w:lang w:val="en-US" w:eastAsia="zh-CN"/>
        </w:rPr>
        <w:t>，品牌：优派，19英寸；已使用；</w:t>
      </w:r>
    </w:p>
    <w:p>
      <w:pPr>
        <w:pStyle w:val="2"/>
        <w:numPr>
          <w:ilvl w:val="0"/>
          <w:numId w:val="8"/>
        </w:numPr>
        <w:adjustRightInd w:val="0"/>
        <w:snapToGrid w:val="0"/>
        <w:ind w:firstLine="560" w:firstLineChars="200"/>
        <w:rPr>
          <w:rFonts w:hint="default"/>
          <w:lang w:val="en-US" w:eastAsia="zh-CN"/>
        </w:rPr>
      </w:pPr>
      <w:r>
        <w:rPr>
          <w:rFonts w:hint="default"/>
          <w:lang w:val="en-US" w:eastAsia="zh-CN"/>
        </w:rPr>
        <w:t>洗衣机</w:t>
      </w:r>
      <w:r>
        <w:rPr>
          <w:rFonts w:hint="eastAsia"/>
          <w:lang w:val="en-US" w:eastAsia="zh-CN"/>
        </w:rPr>
        <w:t>，品牌：小天鹅，型号：TB75-6188DCL(S)，已使用；</w:t>
      </w:r>
    </w:p>
    <w:p>
      <w:pPr>
        <w:pStyle w:val="2"/>
        <w:numPr>
          <w:ilvl w:val="0"/>
          <w:numId w:val="8"/>
        </w:numPr>
        <w:adjustRightInd w:val="0"/>
        <w:snapToGrid w:val="0"/>
        <w:ind w:firstLine="560" w:firstLineChars="200"/>
        <w:rPr>
          <w:rFonts w:hint="default"/>
          <w:lang w:val="en-US" w:eastAsia="zh-CN"/>
        </w:rPr>
      </w:pPr>
      <w:r>
        <w:rPr>
          <w:rFonts w:hint="default"/>
          <w:lang w:val="en-US" w:eastAsia="zh-CN"/>
        </w:rPr>
        <w:t>床</w:t>
      </w:r>
      <w:r>
        <w:rPr>
          <w:rFonts w:hint="eastAsia"/>
          <w:lang w:val="en-US" w:eastAsia="zh-CN"/>
        </w:rPr>
        <w:t>，黑色皮质双人床；</w:t>
      </w:r>
    </w:p>
    <w:p>
      <w:pPr>
        <w:pStyle w:val="2"/>
        <w:numPr>
          <w:ilvl w:val="0"/>
          <w:numId w:val="8"/>
        </w:numPr>
        <w:adjustRightInd w:val="0"/>
        <w:snapToGrid w:val="0"/>
        <w:ind w:firstLine="560" w:firstLineChars="200"/>
        <w:rPr>
          <w:rFonts w:hint="default"/>
          <w:lang w:val="en-US" w:eastAsia="zh-CN"/>
        </w:rPr>
      </w:pPr>
      <w:r>
        <w:rPr>
          <w:rFonts w:hint="default"/>
          <w:lang w:val="en-US" w:eastAsia="zh-CN"/>
        </w:rPr>
        <w:t>床</w:t>
      </w:r>
      <w:r>
        <w:rPr>
          <w:rFonts w:hint="eastAsia"/>
          <w:lang w:val="en-US" w:eastAsia="zh-CN"/>
        </w:rPr>
        <w:t>，白色双人床。</w:t>
      </w:r>
    </w:p>
    <w:p>
      <w:pPr>
        <w:pStyle w:val="2"/>
        <w:numPr>
          <w:ilvl w:val="0"/>
          <w:numId w:val="6"/>
        </w:numPr>
        <w:adjustRightInd w:val="0"/>
        <w:snapToGrid w:val="0"/>
        <w:ind w:left="0" w:leftChars="0" w:firstLine="560" w:firstLineChars="200"/>
        <w:rPr>
          <w:rFonts w:hint="eastAsia"/>
          <w:lang w:val="en-US" w:eastAsia="zh-CN"/>
        </w:rPr>
      </w:pPr>
      <w:r>
        <w:rPr>
          <w:rFonts w:hint="eastAsia"/>
          <w:lang w:val="en-US" w:eastAsia="zh-CN"/>
        </w:rPr>
        <w:t>车位类</w:t>
      </w:r>
    </w:p>
    <w:p>
      <w:pPr>
        <w:pStyle w:val="2"/>
        <w:numPr>
          <w:ilvl w:val="0"/>
          <w:numId w:val="9"/>
        </w:numPr>
        <w:adjustRightInd w:val="0"/>
        <w:snapToGrid w:val="0"/>
        <w:ind w:firstLine="560" w:firstLineChars="200"/>
        <w:rPr>
          <w:rFonts w:hint="eastAsia"/>
          <w:lang w:val="en-US" w:eastAsia="zh-CN"/>
        </w:rPr>
      </w:pPr>
      <w:r>
        <w:rPr>
          <w:rFonts w:hint="eastAsia"/>
          <w:lang w:val="en-US" w:eastAsia="zh-CN"/>
        </w:rPr>
        <w:t>地下车位，B196号；面积12平米；</w:t>
      </w:r>
    </w:p>
    <w:p>
      <w:pPr>
        <w:pStyle w:val="2"/>
        <w:numPr>
          <w:ilvl w:val="0"/>
          <w:numId w:val="9"/>
        </w:numPr>
        <w:adjustRightInd w:val="0"/>
        <w:snapToGrid w:val="0"/>
        <w:ind w:firstLine="560" w:firstLineChars="200"/>
        <w:rPr>
          <w:rFonts w:hint="default"/>
          <w:lang w:val="en-US" w:eastAsia="zh-CN"/>
        </w:rPr>
      </w:pPr>
      <w:r>
        <w:rPr>
          <w:rFonts w:hint="eastAsia"/>
          <w:lang w:val="en-US" w:eastAsia="zh-CN"/>
        </w:rPr>
        <w:t>地下车位，B197号；面积12平米；</w:t>
      </w:r>
    </w:p>
    <w:p>
      <w:pPr>
        <w:pStyle w:val="2"/>
        <w:numPr>
          <w:ilvl w:val="0"/>
          <w:numId w:val="9"/>
        </w:numPr>
        <w:adjustRightInd w:val="0"/>
        <w:snapToGrid w:val="0"/>
        <w:ind w:firstLine="560" w:firstLineChars="200"/>
        <w:rPr>
          <w:rFonts w:hint="default"/>
          <w:lang w:val="en-US" w:eastAsia="zh-CN"/>
        </w:rPr>
      </w:pPr>
      <w:r>
        <w:rPr>
          <w:rFonts w:hint="eastAsia"/>
          <w:lang w:val="en-US" w:eastAsia="zh-CN"/>
        </w:rPr>
        <w:t>地下车位，B198号；面积12平米，位置临墙；</w:t>
      </w:r>
    </w:p>
    <w:p>
      <w:pPr>
        <w:pStyle w:val="2"/>
        <w:numPr>
          <w:ilvl w:val="0"/>
          <w:numId w:val="6"/>
        </w:numPr>
        <w:adjustRightInd w:val="0"/>
        <w:snapToGrid w:val="0"/>
        <w:ind w:left="0" w:leftChars="0" w:firstLine="560" w:firstLineChars="200"/>
        <w:rPr>
          <w:rFonts w:hint="eastAsia"/>
          <w:lang w:val="en-US" w:eastAsia="zh-CN"/>
        </w:rPr>
      </w:pPr>
      <w:r>
        <w:rPr>
          <w:rFonts w:hint="eastAsia"/>
          <w:lang w:val="en-US" w:eastAsia="zh-CN"/>
        </w:rPr>
        <w:t>饰品类</w:t>
      </w:r>
    </w:p>
    <w:p>
      <w:pPr>
        <w:pStyle w:val="2"/>
        <w:numPr>
          <w:ilvl w:val="0"/>
          <w:numId w:val="10"/>
        </w:numPr>
        <w:adjustRightInd w:val="0"/>
        <w:snapToGrid w:val="0"/>
        <w:ind w:firstLine="560" w:firstLineChars="200"/>
        <w:rPr>
          <w:rFonts w:hint="eastAsia"/>
          <w:lang w:val="en-US" w:eastAsia="zh-CN"/>
        </w:rPr>
      </w:pPr>
      <w:r>
        <w:rPr>
          <w:rFonts w:hint="eastAsia"/>
          <w:lang w:val="en-US" w:eastAsia="zh-CN"/>
        </w:rPr>
        <w:t>戒指，黄色金属戒指；重15.63克；正面“龙”字标记，已佩戴，经鉴定为足金饰品；</w:t>
      </w:r>
    </w:p>
    <w:p>
      <w:pPr>
        <w:pStyle w:val="2"/>
        <w:numPr>
          <w:ilvl w:val="0"/>
          <w:numId w:val="10"/>
        </w:numPr>
        <w:adjustRightInd w:val="0"/>
        <w:snapToGrid w:val="0"/>
        <w:ind w:firstLine="560" w:firstLineChars="200"/>
        <w:rPr>
          <w:rFonts w:hint="default"/>
          <w:lang w:val="en-US" w:eastAsia="zh-CN"/>
        </w:rPr>
      </w:pPr>
      <w:r>
        <w:rPr>
          <w:rFonts w:hint="eastAsia"/>
          <w:lang w:val="en-US" w:eastAsia="zh-CN"/>
        </w:rPr>
        <w:t>戒指，黄色金属戒指；重2.76克；尾部开口款式，正面刻花，“福”字标记，已佩戴，经鉴定为非贵金属饰品；</w:t>
      </w:r>
    </w:p>
    <w:p>
      <w:pPr>
        <w:pStyle w:val="2"/>
        <w:numPr>
          <w:ilvl w:val="0"/>
          <w:numId w:val="10"/>
        </w:numPr>
        <w:adjustRightInd w:val="0"/>
        <w:snapToGrid w:val="0"/>
        <w:ind w:firstLine="560" w:firstLineChars="200"/>
        <w:rPr>
          <w:rFonts w:hint="default"/>
          <w:lang w:val="en-US" w:eastAsia="zh-CN"/>
        </w:rPr>
      </w:pPr>
      <w:r>
        <w:rPr>
          <w:rFonts w:hint="eastAsia"/>
          <w:lang w:val="en-US" w:eastAsia="zh-CN"/>
        </w:rPr>
        <w:t>戒指，黄色金属戒指；重15.82克；尾部开口款式，“福”字标记，已佩戴，经鉴定为足金饰品；</w:t>
      </w:r>
    </w:p>
    <w:p>
      <w:pPr>
        <w:pStyle w:val="2"/>
        <w:numPr>
          <w:ilvl w:val="0"/>
          <w:numId w:val="10"/>
        </w:numPr>
        <w:adjustRightInd w:val="0"/>
        <w:snapToGrid w:val="0"/>
        <w:ind w:firstLine="560" w:firstLineChars="200"/>
        <w:rPr>
          <w:rFonts w:hint="default"/>
          <w:lang w:val="en-US" w:eastAsia="zh-CN"/>
        </w:rPr>
      </w:pPr>
      <w:r>
        <w:rPr>
          <w:rFonts w:hint="eastAsia"/>
          <w:lang w:val="en-US" w:eastAsia="zh-CN"/>
        </w:rPr>
        <w:t>戒指，黄色金属镶石质戒指；总重10.3克；已佩戴，经鉴定为非贵金属镶嵌石英岩饰品；</w:t>
      </w:r>
    </w:p>
    <w:p>
      <w:pPr>
        <w:pStyle w:val="2"/>
        <w:numPr>
          <w:ilvl w:val="0"/>
          <w:numId w:val="10"/>
        </w:numPr>
        <w:adjustRightInd w:val="0"/>
        <w:snapToGrid w:val="0"/>
        <w:ind w:firstLine="560" w:firstLineChars="200"/>
        <w:rPr>
          <w:rFonts w:hint="default"/>
          <w:lang w:val="en-US" w:eastAsia="zh-CN"/>
        </w:rPr>
      </w:pPr>
      <w:r>
        <w:rPr>
          <w:rFonts w:hint="eastAsia"/>
          <w:lang w:val="en-US" w:eastAsia="zh-CN"/>
        </w:rPr>
        <w:t>戒指，黄色金属戒指；重7.78克；刻叶子样式；已佩戴，经鉴定为足金饰品；</w:t>
      </w:r>
    </w:p>
    <w:p>
      <w:pPr>
        <w:pStyle w:val="2"/>
        <w:numPr>
          <w:ilvl w:val="0"/>
          <w:numId w:val="10"/>
        </w:numPr>
        <w:adjustRightInd w:val="0"/>
        <w:snapToGrid w:val="0"/>
        <w:ind w:firstLine="560" w:firstLineChars="200"/>
        <w:rPr>
          <w:rFonts w:hint="default"/>
          <w:lang w:val="en-US" w:eastAsia="zh-CN"/>
        </w:rPr>
      </w:pPr>
      <w:r>
        <w:rPr>
          <w:rFonts w:hint="default"/>
          <w:lang w:val="en-US" w:eastAsia="zh-CN"/>
        </w:rPr>
        <w:t>项链</w:t>
      </w:r>
      <w:r>
        <w:rPr>
          <w:rFonts w:hint="eastAsia"/>
          <w:lang w:val="en-US" w:eastAsia="zh-CN"/>
        </w:rPr>
        <w:t>，黄色金属项链；重138.07克，已佩戴，经鉴定为足金饰品；</w:t>
      </w:r>
    </w:p>
    <w:p>
      <w:pPr>
        <w:pStyle w:val="2"/>
        <w:numPr>
          <w:ilvl w:val="0"/>
          <w:numId w:val="10"/>
        </w:numPr>
        <w:adjustRightInd w:val="0"/>
        <w:snapToGrid w:val="0"/>
        <w:ind w:firstLine="560" w:firstLineChars="200"/>
        <w:rPr>
          <w:rFonts w:hint="default"/>
          <w:lang w:val="en-US" w:eastAsia="zh-CN"/>
        </w:rPr>
      </w:pPr>
      <w:r>
        <w:rPr>
          <w:rFonts w:hint="default"/>
          <w:lang w:val="en-US" w:eastAsia="zh-CN"/>
        </w:rPr>
        <w:t>项链</w:t>
      </w:r>
      <w:r>
        <w:rPr>
          <w:rFonts w:hint="eastAsia"/>
          <w:lang w:val="en-US" w:eastAsia="zh-CN"/>
        </w:rPr>
        <w:t>，黄色金属项链；重91.19克，已佩戴，经鉴定为足金饰品；</w:t>
      </w:r>
    </w:p>
    <w:p>
      <w:pPr>
        <w:pStyle w:val="2"/>
        <w:numPr>
          <w:ilvl w:val="0"/>
          <w:numId w:val="10"/>
        </w:numPr>
        <w:adjustRightInd w:val="0"/>
        <w:snapToGrid w:val="0"/>
        <w:ind w:firstLine="560" w:firstLineChars="200"/>
        <w:rPr>
          <w:rFonts w:hint="default"/>
          <w:lang w:val="en-US" w:eastAsia="zh-CN"/>
        </w:rPr>
      </w:pPr>
      <w:r>
        <w:rPr>
          <w:rFonts w:hint="default"/>
          <w:lang w:val="en-US" w:eastAsia="zh-CN"/>
        </w:rPr>
        <w:t>项链</w:t>
      </w:r>
      <w:r>
        <w:rPr>
          <w:rFonts w:hint="eastAsia"/>
          <w:lang w:val="en-US" w:eastAsia="zh-CN"/>
        </w:rPr>
        <w:t>，黄色金属项链；重62.34克，已佩戴，经鉴定为足金饰品；</w:t>
      </w:r>
    </w:p>
    <w:p>
      <w:pPr>
        <w:pStyle w:val="2"/>
        <w:numPr>
          <w:ilvl w:val="0"/>
          <w:numId w:val="10"/>
        </w:numPr>
        <w:adjustRightInd w:val="0"/>
        <w:snapToGrid w:val="0"/>
        <w:ind w:firstLine="560" w:firstLineChars="200"/>
        <w:rPr>
          <w:rFonts w:hint="default"/>
          <w:lang w:val="en-US" w:eastAsia="zh-CN"/>
        </w:rPr>
      </w:pPr>
      <w:r>
        <w:rPr>
          <w:rFonts w:hint="default"/>
          <w:lang w:val="en-US" w:eastAsia="zh-CN"/>
        </w:rPr>
        <w:t>项链</w:t>
      </w:r>
      <w:r>
        <w:rPr>
          <w:rFonts w:hint="eastAsia"/>
          <w:lang w:val="en-US" w:eastAsia="zh-CN"/>
        </w:rPr>
        <w:t>，黄色金属项链；重44.51克，已佩戴，经鉴定为非贵金属饰品；</w:t>
      </w:r>
    </w:p>
    <w:p>
      <w:pPr>
        <w:pStyle w:val="2"/>
        <w:numPr>
          <w:ilvl w:val="0"/>
          <w:numId w:val="10"/>
        </w:numPr>
        <w:adjustRightInd w:val="0"/>
        <w:snapToGrid w:val="0"/>
        <w:ind w:firstLine="560" w:firstLineChars="200"/>
        <w:rPr>
          <w:rFonts w:hint="default"/>
          <w:lang w:val="en-US" w:eastAsia="zh-CN"/>
        </w:rPr>
      </w:pPr>
      <w:r>
        <w:rPr>
          <w:rFonts w:hint="default"/>
          <w:lang w:val="en-US" w:eastAsia="zh-CN"/>
        </w:rPr>
        <w:t>项链</w:t>
      </w:r>
      <w:r>
        <w:rPr>
          <w:rFonts w:hint="eastAsia"/>
          <w:lang w:val="en-US" w:eastAsia="zh-CN"/>
        </w:rPr>
        <w:t>，黄色金属项链；重14.96克，已佩戴，经鉴定为足金饰品；</w:t>
      </w:r>
    </w:p>
    <w:p>
      <w:pPr>
        <w:pStyle w:val="2"/>
        <w:numPr>
          <w:ilvl w:val="0"/>
          <w:numId w:val="10"/>
        </w:numPr>
        <w:adjustRightInd w:val="0"/>
        <w:snapToGrid w:val="0"/>
        <w:ind w:firstLine="560" w:firstLineChars="200"/>
        <w:rPr>
          <w:rFonts w:hint="default"/>
          <w:lang w:val="en-US" w:eastAsia="zh-CN"/>
        </w:rPr>
      </w:pPr>
      <w:r>
        <w:rPr>
          <w:rFonts w:hint="eastAsia"/>
          <w:lang w:val="en-US" w:eastAsia="zh-CN"/>
        </w:rPr>
        <w:t>手</w:t>
      </w:r>
      <w:r>
        <w:rPr>
          <w:rFonts w:hint="default"/>
          <w:lang w:val="en-US" w:eastAsia="zh-CN"/>
        </w:rPr>
        <w:t>链</w:t>
      </w:r>
      <w:r>
        <w:rPr>
          <w:rFonts w:hint="eastAsia"/>
          <w:lang w:val="en-US" w:eastAsia="zh-CN"/>
        </w:rPr>
        <w:t>，黄色金属手链；重4.23克，已佩戴，经鉴定为足金饰品。</w:t>
      </w:r>
    </w:p>
    <w:p>
      <w:pPr>
        <w:pStyle w:val="2"/>
        <w:adjustRightInd w:val="0"/>
        <w:snapToGrid w:val="0"/>
        <w:ind w:firstLine="560" w:firstLineChars="200"/>
        <w:rPr>
          <w:rFonts w:hint="eastAsia"/>
          <w:kern w:val="2"/>
          <w:sz w:val="28"/>
          <w:szCs w:val="20"/>
          <w:lang w:val="en-US" w:eastAsia="zh-CN"/>
        </w:rPr>
      </w:pPr>
      <w:r>
        <w:rPr>
          <w:rFonts w:hint="eastAsia" w:ascii="宋体"/>
          <w:kern w:val="2"/>
          <w:sz w:val="28"/>
          <w:szCs w:val="20"/>
          <w:lang w:val="en-US" w:eastAsia="zh-CN"/>
        </w:rPr>
        <w:t>经</w:t>
      </w:r>
      <w:r>
        <w:rPr>
          <w:rFonts w:hint="eastAsia"/>
          <w:kern w:val="2"/>
          <w:sz w:val="28"/>
          <w:szCs w:val="20"/>
          <w:lang w:val="en-US" w:eastAsia="zh-CN"/>
        </w:rPr>
        <w:t>现场勘验，评估专业小组对标的进行了逐一勘验，根据标的的情况分别进行了相关的市场调查。</w:t>
      </w:r>
    </w:p>
    <w:p>
      <w:pPr>
        <w:pStyle w:val="2"/>
        <w:adjustRightInd w:val="0"/>
        <w:snapToGrid w:val="0"/>
        <w:ind w:firstLine="560" w:firstLineChars="200"/>
        <w:rPr>
          <w:rFonts w:hint="eastAsia" w:eastAsia="宋体"/>
          <w:kern w:val="2"/>
          <w:sz w:val="28"/>
          <w:szCs w:val="20"/>
          <w:lang w:val="en-US" w:eastAsia="zh-CN"/>
        </w:rPr>
      </w:pPr>
      <w:r>
        <w:rPr>
          <w:rFonts w:hint="eastAsia"/>
          <w:kern w:val="2"/>
          <w:sz w:val="28"/>
          <w:szCs w:val="20"/>
          <w:lang w:val="en-US" w:eastAsia="zh-CN"/>
        </w:rPr>
        <w:t>一、杂项物品、家具电器等标的物，评估小组成员对其类型、品牌、型号、规格等信息做了详细记录，并结合现场勘验时标的的外观、磨损程度等实际情况，整理信息。鉴于标的均属于老旧款式物品，且实际使用情况一般，因此针对此类物品，选用市场比较法进行测算。</w:t>
      </w:r>
    </w:p>
    <w:p>
      <w:pPr>
        <w:pStyle w:val="2"/>
        <w:adjustRightInd w:val="0"/>
        <w:snapToGrid w:val="0"/>
        <w:ind w:firstLine="560" w:firstLineChars="200"/>
        <w:rPr>
          <w:rFonts w:hint="eastAsia"/>
          <w:kern w:val="2"/>
          <w:sz w:val="28"/>
          <w:szCs w:val="20"/>
          <w:lang w:val="en-US" w:eastAsia="zh-CN"/>
        </w:rPr>
      </w:pPr>
      <w:r>
        <w:rPr>
          <w:rFonts w:hint="eastAsia"/>
          <w:kern w:val="2"/>
          <w:sz w:val="28"/>
          <w:szCs w:val="20"/>
          <w:lang w:val="en-US" w:eastAsia="zh-CN"/>
        </w:rPr>
        <w:t>通过网络店铺、二手交易平台等渠道，咨询收集了与标的相同、相近、相似的物品在价格评估基准日时期的销售情况及销售价格。同时结合标的物品的实际情况，调整相应的修正系数，从而计算得出此类标的在价格评估基准日时期的市场价格。</w:t>
      </w:r>
    </w:p>
    <w:p>
      <w:pPr>
        <w:pStyle w:val="2"/>
        <w:numPr>
          <w:ilvl w:val="0"/>
          <w:numId w:val="11"/>
        </w:numPr>
        <w:adjustRightInd w:val="0"/>
        <w:snapToGrid w:val="0"/>
        <w:ind w:firstLine="560" w:firstLineChars="200"/>
        <w:rPr>
          <w:rFonts w:hint="eastAsia"/>
          <w:kern w:val="2"/>
          <w:sz w:val="28"/>
          <w:szCs w:val="20"/>
          <w:lang w:val="en-US" w:eastAsia="zh-CN"/>
        </w:rPr>
      </w:pPr>
      <w:r>
        <w:rPr>
          <w:rFonts w:hint="eastAsia"/>
          <w:kern w:val="2"/>
          <w:sz w:val="28"/>
          <w:szCs w:val="20"/>
          <w:lang w:val="en-US" w:eastAsia="zh-CN"/>
        </w:rPr>
        <w:t>车位类标的物，评估小组成员根据标的车位的情况，选用市场比较法进行测算。评估小组成员咨询收集了标的车位所在小区的地下停车位在价格评估基准日时期的交易情况及交易价格，结合标的车位的实际情况，调整相应的修正系数，从而计算得出标的在价格评估基准日时期的市场价格。</w:t>
      </w:r>
    </w:p>
    <w:p>
      <w:pPr>
        <w:pStyle w:val="2"/>
        <w:numPr>
          <w:ilvl w:val="0"/>
          <w:numId w:val="11"/>
        </w:numPr>
        <w:adjustRightInd w:val="0"/>
        <w:snapToGrid w:val="0"/>
        <w:ind w:firstLine="560" w:firstLineChars="200"/>
        <w:rPr>
          <w:rFonts w:hint="eastAsia"/>
          <w:kern w:val="2"/>
          <w:sz w:val="28"/>
          <w:szCs w:val="20"/>
          <w:lang w:val="en-US" w:eastAsia="zh-CN"/>
        </w:rPr>
      </w:pPr>
      <w:r>
        <w:rPr>
          <w:rFonts w:hint="eastAsia"/>
          <w:kern w:val="2"/>
          <w:sz w:val="28"/>
          <w:szCs w:val="20"/>
          <w:lang w:val="en-US" w:eastAsia="zh-CN"/>
        </w:rPr>
        <w:t>贵金属首饰类标的物，</w:t>
      </w:r>
      <w:r>
        <w:rPr>
          <w:rFonts w:hint="eastAsia" w:ascii="宋体"/>
          <w:kern w:val="2"/>
          <w:sz w:val="28"/>
          <w:szCs w:val="20"/>
          <w:lang w:val="en-US" w:eastAsia="zh-CN"/>
        </w:rPr>
        <w:t>经过专家及工作人员调查分析，根据</w:t>
      </w:r>
      <w:r>
        <w:rPr>
          <w:rFonts w:hint="eastAsia"/>
          <w:kern w:val="2"/>
          <w:sz w:val="28"/>
          <w:szCs w:val="20"/>
          <w:lang w:val="en-US" w:eastAsia="zh-CN"/>
        </w:rPr>
        <w:t>贵金属类</w:t>
      </w:r>
      <w:r>
        <w:rPr>
          <w:rFonts w:hint="eastAsia" w:ascii="宋体"/>
          <w:kern w:val="2"/>
          <w:sz w:val="28"/>
          <w:szCs w:val="20"/>
          <w:lang w:val="en-US" w:eastAsia="zh-CN"/>
        </w:rPr>
        <w:t>标的的情况</w:t>
      </w:r>
      <w:r>
        <w:rPr>
          <w:rFonts w:hint="eastAsia"/>
          <w:kern w:val="2"/>
          <w:sz w:val="28"/>
          <w:szCs w:val="20"/>
          <w:lang w:val="en-US" w:eastAsia="zh-CN"/>
        </w:rPr>
        <w:t>以及质量鉴定意见</w:t>
      </w:r>
      <w:r>
        <w:rPr>
          <w:rFonts w:hint="eastAsia" w:ascii="宋体"/>
          <w:kern w:val="2"/>
          <w:sz w:val="28"/>
          <w:szCs w:val="20"/>
          <w:lang w:val="en-US" w:eastAsia="zh-CN"/>
        </w:rPr>
        <w:t>进行了相关的市场调查，</w:t>
      </w:r>
      <w:r>
        <w:rPr>
          <w:rFonts w:hint="eastAsia"/>
          <w:kern w:val="2"/>
          <w:sz w:val="28"/>
          <w:szCs w:val="20"/>
          <w:lang w:val="en-US" w:eastAsia="zh-CN"/>
        </w:rPr>
        <w:t>收集了基准日时期</w:t>
      </w:r>
      <w:r>
        <w:rPr>
          <w:rFonts w:hint="eastAsia" w:ascii="宋体"/>
          <w:kern w:val="2"/>
          <w:sz w:val="28"/>
          <w:szCs w:val="20"/>
          <w:lang w:val="en-US" w:eastAsia="zh-CN"/>
        </w:rPr>
        <w:t>的</w:t>
      </w:r>
      <w:r>
        <w:rPr>
          <w:rFonts w:hint="eastAsia"/>
          <w:kern w:val="2"/>
          <w:sz w:val="28"/>
          <w:szCs w:val="20"/>
          <w:lang w:val="en-US" w:eastAsia="zh-CN"/>
        </w:rPr>
        <w:t>国内足金、饰品金的价格</w:t>
      </w:r>
      <w:r>
        <w:rPr>
          <w:rFonts w:hint="eastAsia" w:ascii="宋体"/>
          <w:kern w:val="2"/>
          <w:sz w:val="28"/>
          <w:szCs w:val="20"/>
          <w:lang w:val="en-US" w:eastAsia="zh-CN"/>
        </w:rPr>
        <w:t>，</w:t>
      </w:r>
      <w:r>
        <w:rPr>
          <w:rFonts w:hint="eastAsia"/>
          <w:kern w:val="2"/>
          <w:sz w:val="28"/>
          <w:szCs w:val="20"/>
          <w:lang w:val="en-US" w:eastAsia="zh-CN"/>
        </w:rPr>
        <w:t>根据标的贵金属首饰的实际情况，考虑其做工工艺、收藏价值等进行价格修正并结合专家意见</w:t>
      </w:r>
      <w:r>
        <w:rPr>
          <w:rFonts w:hint="eastAsia" w:ascii="宋体"/>
          <w:kern w:val="2"/>
          <w:sz w:val="28"/>
          <w:szCs w:val="20"/>
          <w:lang w:val="en-US" w:eastAsia="zh-CN"/>
        </w:rPr>
        <w:t>、价格评估小组合议，经综合分析比较多种因素，按照国家相关法律法规，采用专家咨询法、市场比较法进行测算，最终确定出价格评估标的在评估基准日的市场价格</w:t>
      </w:r>
      <w:r>
        <w:rPr>
          <w:rFonts w:hint="eastAsia"/>
          <w:kern w:val="2"/>
          <w:sz w:val="28"/>
          <w:szCs w:val="20"/>
          <w:lang w:val="en-US" w:eastAsia="zh-CN"/>
        </w:rPr>
        <w:t>。</w:t>
      </w:r>
    </w:p>
    <w:p>
      <w:pPr>
        <w:pStyle w:val="2"/>
        <w:numPr>
          <w:ilvl w:val="0"/>
          <w:numId w:val="0"/>
        </w:numPr>
        <w:adjustRightInd w:val="0"/>
        <w:snapToGrid w:val="0"/>
        <w:ind w:firstLine="560" w:firstLineChars="200"/>
        <w:rPr>
          <w:rFonts w:hint="eastAsia"/>
          <w:kern w:val="2"/>
          <w:sz w:val="28"/>
          <w:szCs w:val="20"/>
          <w:lang w:val="en-US" w:eastAsia="zh-CN"/>
        </w:rPr>
      </w:pPr>
      <w:r>
        <w:rPr>
          <w:rFonts w:hint="eastAsia"/>
          <w:kern w:val="2"/>
          <w:sz w:val="28"/>
          <w:szCs w:val="20"/>
          <w:lang w:val="en-US" w:eastAsia="zh-CN"/>
        </w:rPr>
        <w:t>对于非贵金属类的首饰，选用市场比较法进行测算。价格评估人员通过调查收集与标的相近相似的非贵金属合金类金属首饰在价格评估基准日时期的销售情况及销售价格，结合非贵金属类标的首饰的实际情况，调整相应的修正系数，从而计算出标的在价格评估基准日时期的市场价格。</w:t>
      </w:r>
    </w:p>
    <w:p>
      <w:pPr>
        <w:pStyle w:val="2"/>
        <w:numPr>
          <w:ilvl w:val="0"/>
          <w:numId w:val="0"/>
        </w:numPr>
        <w:adjustRightInd w:val="0"/>
        <w:snapToGrid w:val="0"/>
        <w:ind w:firstLine="560" w:firstLineChars="200"/>
        <w:rPr>
          <w:rFonts w:hint="eastAsia"/>
          <w:kern w:val="2"/>
          <w:sz w:val="28"/>
          <w:szCs w:val="20"/>
          <w:lang w:val="en-US" w:eastAsia="zh-CN"/>
        </w:rPr>
      </w:pPr>
      <w:r>
        <w:rPr>
          <w:rFonts w:hint="eastAsia"/>
          <w:kern w:val="2"/>
          <w:sz w:val="28"/>
          <w:szCs w:val="20"/>
          <w:lang w:val="en-US" w:eastAsia="zh-CN"/>
        </w:rPr>
        <w:t>综上，经价格评估小组合议，综合分析比较多种因素，</w:t>
      </w:r>
      <w:r>
        <w:rPr>
          <w:rFonts w:hint="eastAsia" w:ascii="宋体"/>
          <w:kern w:val="2"/>
          <w:sz w:val="28"/>
          <w:szCs w:val="20"/>
          <w:lang w:val="en-US" w:eastAsia="zh-CN"/>
        </w:rPr>
        <w:t>按照国家相关法律法规，采用</w:t>
      </w:r>
      <w:r>
        <w:rPr>
          <w:rFonts w:hint="eastAsia"/>
          <w:kern w:val="2"/>
          <w:sz w:val="28"/>
          <w:szCs w:val="20"/>
          <w:lang w:val="en-US" w:eastAsia="zh-CN"/>
        </w:rPr>
        <w:t>相应的评估方法对各类标的物</w:t>
      </w:r>
      <w:r>
        <w:rPr>
          <w:rFonts w:hint="eastAsia" w:ascii="宋体"/>
          <w:kern w:val="2"/>
          <w:sz w:val="28"/>
          <w:szCs w:val="20"/>
          <w:lang w:val="en-US" w:eastAsia="zh-CN"/>
        </w:rPr>
        <w:t>进行测算，最终确定出价格评估标的在评估基准日的市场价格</w:t>
      </w:r>
      <w:r>
        <w:rPr>
          <w:rFonts w:hint="eastAsia"/>
          <w:kern w:val="2"/>
          <w:sz w:val="28"/>
          <w:szCs w:val="20"/>
          <w:lang w:val="en-US" w:eastAsia="zh-CN"/>
        </w:rPr>
        <w:t>。</w:t>
      </w:r>
    </w:p>
    <w:p>
      <w:pPr>
        <w:pStyle w:val="2"/>
        <w:numPr>
          <w:ilvl w:val="0"/>
          <w:numId w:val="0"/>
        </w:numPr>
        <w:adjustRightInd w:val="0"/>
        <w:snapToGrid w:val="0"/>
        <w:ind w:firstLine="560" w:firstLineChars="200"/>
        <w:rPr>
          <w:rFonts w:hint="default"/>
          <w:kern w:val="2"/>
          <w:sz w:val="28"/>
          <w:szCs w:val="20"/>
          <w:lang w:val="en-US" w:eastAsia="zh-CN"/>
        </w:rPr>
      </w:pPr>
      <w:r>
        <w:rPr>
          <w:rFonts w:hint="eastAsia"/>
          <w:kern w:val="2"/>
          <w:sz w:val="28"/>
          <w:szCs w:val="20"/>
          <w:lang w:val="en-US" w:eastAsia="zh-CN"/>
        </w:rPr>
        <w:t>（详见《价格评估报告明细表》）</w:t>
      </w:r>
    </w:p>
    <w:p>
      <w:pPr>
        <w:numPr>
          <w:ilvl w:val="0"/>
          <w:numId w:val="1"/>
        </w:numPr>
        <w:adjustRightInd w:val="0"/>
        <w:snapToGrid w:val="0"/>
        <w:spacing w:line="360" w:lineRule="auto"/>
        <w:rPr>
          <w:rFonts w:hint="default" w:ascii="宋体"/>
          <w:b/>
          <w:sz w:val="28"/>
        </w:rPr>
      </w:pPr>
      <w:r>
        <w:rPr>
          <w:rFonts w:hint="eastAsia" w:ascii="宋体"/>
          <w:b/>
          <w:sz w:val="28"/>
        </w:rPr>
        <w:t>价格评估结论</w:t>
      </w:r>
    </w:p>
    <w:p>
      <w:pPr>
        <w:ind w:left="141" w:leftChars="67" w:firstLine="420" w:firstLineChars="150"/>
        <w:rPr>
          <w:rFonts w:hint="default" w:ascii="宋体"/>
          <w:sz w:val="16"/>
        </w:rPr>
      </w:pPr>
      <w:r>
        <w:rPr>
          <w:rFonts w:hint="eastAsia"/>
          <w:sz w:val="28"/>
          <w:szCs w:val="28"/>
        </w:rPr>
        <w:t>经综合评估，价格评估标的在价格评估基准日的评估价格为</w:t>
      </w:r>
      <w:r>
        <w:rPr>
          <w:rFonts w:hint="eastAsia" w:ascii="宋体" w:hAnsi="宋体"/>
          <w:sz w:val="28"/>
          <w:szCs w:val="28"/>
          <w:highlight w:val="none"/>
        </w:rPr>
        <w:t>￥</w:t>
      </w:r>
      <w:r>
        <w:rPr>
          <w:rFonts w:hint="eastAsia" w:ascii="宋体" w:hAnsi="宋体"/>
          <w:sz w:val="28"/>
          <w:szCs w:val="28"/>
          <w:highlight w:val="none"/>
          <w:lang w:val="en-US" w:eastAsia="zh-CN"/>
        </w:rPr>
        <w:t>254,410</w:t>
      </w:r>
      <w:r>
        <w:rPr>
          <w:rFonts w:hint="eastAsia" w:ascii="宋体" w:hAnsi="宋体"/>
          <w:sz w:val="28"/>
          <w:szCs w:val="28"/>
          <w:highlight w:val="none"/>
        </w:rPr>
        <w:t>.</w:t>
      </w:r>
      <w:r>
        <w:rPr>
          <w:rFonts w:hint="eastAsia" w:ascii="宋体" w:hAnsi="宋体"/>
          <w:sz w:val="28"/>
          <w:szCs w:val="28"/>
          <w:highlight w:val="none"/>
          <w:lang w:val="en-US" w:eastAsia="zh-CN"/>
        </w:rPr>
        <w:t>00（</w:t>
      </w:r>
      <w:r>
        <w:rPr>
          <w:rFonts w:hint="eastAsia"/>
          <w:sz w:val="28"/>
          <w:szCs w:val="28"/>
        </w:rPr>
        <w:t>人民币</w:t>
      </w:r>
      <w:r>
        <w:rPr>
          <w:rFonts w:hint="eastAsia"/>
          <w:sz w:val="28"/>
          <w:szCs w:val="28"/>
          <w:highlight w:val="none"/>
          <w:lang w:eastAsia="zh-CN"/>
        </w:rPr>
        <w:t>贰拾伍万肆仟肆佰壹拾元整</w:t>
      </w:r>
      <w:r>
        <w:rPr>
          <w:rFonts w:hint="eastAsia" w:ascii="宋体" w:hAnsi="宋体"/>
          <w:sz w:val="28"/>
          <w:szCs w:val="28"/>
          <w:highlight w:val="none"/>
          <w:lang w:val="en-US" w:eastAsia="zh-CN"/>
        </w:rPr>
        <w:t>）</w:t>
      </w:r>
      <w:r>
        <w:rPr>
          <w:rFonts w:hint="eastAsia"/>
          <w:sz w:val="28"/>
          <w:szCs w:val="28"/>
        </w:rPr>
        <w:t>。</w:t>
      </w:r>
    </w:p>
    <w:p>
      <w:pPr>
        <w:adjustRightInd w:val="0"/>
        <w:snapToGrid w:val="0"/>
        <w:spacing w:line="360" w:lineRule="auto"/>
        <w:ind w:left="900"/>
        <w:rPr>
          <w:rFonts w:hint="eastAsia" w:ascii="宋体"/>
          <w:b/>
          <w:sz w:val="28"/>
          <w:lang w:eastAsia="zh-CN"/>
        </w:rPr>
      </w:pPr>
      <w:r>
        <w:rPr>
          <w:rFonts w:hint="eastAsia" w:ascii="宋体"/>
          <w:b/>
          <w:sz w:val="28"/>
          <w:lang w:eastAsia="zh-CN"/>
        </w:rPr>
        <w:t>九、限定条件</w:t>
      </w:r>
    </w:p>
    <w:p>
      <w:pPr>
        <w:adjustRightInd w:val="0"/>
        <w:snapToGrid w:val="0"/>
        <w:spacing w:line="360" w:lineRule="auto"/>
        <w:ind w:firstLine="561"/>
        <w:rPr>
          <w:rFonts w:hint="eastAsia" w:ascii="宋体" w:eastAsia="宋体"/>
          <w:sz w:val="28"/>
          <w:lang w:val="en-US" w:eastAsia="zh-CN"/>
        </w:rPr>
      </w:pPr>
      <w:r>
        <w:rPr>
          <w:rFonts w:hint="eastAsia" w:ascii="宋体"/>
          <w:sz w:val="28"/>
          <w:lang w:val="en-US" w:eastAsia="zh-CN"/>
        </w:rPr>
        <w:t>1.</w:t>
      </w:r>
      <w:r>
        <w:rPr>
          <w:rFonts w:hint="eastAsia" w:ascii="宋体"/>
          <w:sz w:val="28"/>
        </w:rPr>
        <w:t>委托方提供的资料客观、真实、全面</w:t>
      </w:r>
      <w:r>
        <w:rPr>
          <w:rFonts w:hint="eastAsia" w:ascii="宋体"/>
          <w:sz w:val="28"/>
          <w:lang w:eastAsia="zh-CN"/>
        </w:rPr>
        <w:t>、有效</w:t>
      </w:r>
      <w:r>
        <w:rPr>
          <w:rFonts w:hint="eastAsia" w:ascii="宋体"/>
          <w:sz w:val="28"/>
        </w:rPr>
        <w:t>；</w:t>
      </w:r>
    </w:p>
    <w:p>
      <w:pPr>
        <w:adjustRightInd w:val="0"/>
        <w:snapToGrid w:val="0"/>
        <w:spacing w:line="360" w:lineRule="auto"/>
        <w:ind w:firstLine="561"/>
        <w:rPr>
          <w:rFonts w:hint="default" w:ascii="宋体"/>
          <w:sz w:val="16"/>
        </w:rPr>
      </w:pPr>
      <w:r>
        <w:rPr>
          <w:rFonts w:hint="eastAsia" w:ascii="宋体"/>
          <w:sz w:val="28"/>
          <w:lang w:val="en-US" w:eastAsia="zh-CN"/>
        </w:rPr>
        <w:t>2.以上条件若发生变化，需重新进行价格评估。</w:t>
      </w:r>
    </w:p>
    <w:p>
      <w:pPr>
        <w:adjustRightInd w:val="0"/>
        <w:snapToGrid w:val="0"/>
        <w:spacing w:line="360" w:lineRule="auto"/>
        <w:ind w:left="900"/>
        <w:rPr>
          <w:rFonts w:hint="eastAsia" w:ascii="宋体"/>
          <w:b/>
          <w:sz w:val="28"/>
          <w:lang w:eastAsia="zh-CN"/>
        </w:rPr>
      </w:pPr>
      <w:r>
        <w:rPr>
          <w:rFonts w:hint="eastAsia" w:ascii="宋体"/>
          <w:b/>
          <w:sz w:val="28"/>
          <w:lang w:eastAsia="zh-CN"/>
        </w:rPr>
        <w:t>十、声明</w:t>
      </w:r>
    </w:p>
    <w:p>
      <w:pPr>
        <w:adjustRightInd w:val="0"/>
        <w:snapToGrid w:val="0"/>
        <w:spacing w:line="360" w:lineRule="auto"/>
        <w:ind w:firstLine="562"/>
        <w:rPr>
          <w:rFonts w:hint="eastAsia" w:ascii="宋体"/>
          <w:sz w:val="28"/>
        </w:rPr>
      </w:pPr>
      <w:r>
        <w:rPr>
          <w:rFonts w:hint="eastAsia" w:ascii="宋体"/>
          <w:sz w:val="28"/>
          <w:lang w:val="en-US" w:eastAsia="zh-CN"/>
        </w:rPr>
        <w:t>1.</w:t>
      </w:r>
      <w:r>
        <w:rPr>
          <w:rFonts w:hint="eastAsia" w:ascii="宋体"/>
          <w:sz w:val="28"/>
        </w:rPr>
        <w:t>价格评估结论受</w:t>
      </w:r>
      <w:r>
        <w:rPr>
          <w:rFonts w:hint="eastAsia" w:ascii="宋体"/>
          <w:sz w:val="28"/>
          <w:lang w:eastAsia="zh-CN"/>
        </w:rPr>
        <w:t>报告</w:t>
      </w:r>
      <w:r>
        <w:rPr>
          <w:rFonts w:hint="eastAsia" w:ascii="宋体"/>
          <w:sz w:val="28"/>
        </w:rPr>
        <w:t>书中已说明的限定条件限制；</w:t>
      </w:r>
      <w:r>
        <w:rPr>
          <w:rFonts w:hint="eastAsia" w:ascii="宋体"/>
          <w:sz w:val="28"/>
        </w:rPr>
        <w:br w:type="textWrapping"/>
      </w:r>
      <w:r>
        <w:rPr>
          <w:rFonts w:hint="eastAsia" w:ascii="宋体"/>
          <w:sz w:val="28"/>
        </w:rPr>
        <w:t>　　</w:t>
      </w:r>
      <w:r>
        <w:rPr>
          <w:rFonts w:hint="eastAsia" w:ascii="宋体"/>
          <w:sz w:val="28"/>
          <w:lang w:val="en-US" w:eastAsia="zh-CN"/>
        </w:rPr>
        <w:t>2.提供</w:t>
      </w:r>
      <w:r>
        <w:rPr>
          <w:rFonts w:hint="eastAsia" w:ascii="宋体"/>
          <w:sz w:val="28"/>
        </w:rPr>
        <w:t>资料的真实性、全面性由</w:t>
      </w:r>
      <w:r>
        <w:rPr>
          <w:rFonts w:hint="eastAsia" w:ascii="宋体"/>
          <w:sz w:val="28"/>
          <w:lang w:eastAsia="zh-CN"/>
        </w:rPr>
        <w:t>委托</w:t>
      </w:r>
      <w:r>
        <w:rPr>
          <w:rFonts w:hint="eastAsia" w:ascii="宋体"/>
          <w:sz w:val="28"/>
        </w:rPr>
        <w:t>方负责；</w:t>
      </w:r>
      <w:r>
        <w:rPr>
          <w:rFonts w:hint="eastAsia" w:ascii="宋体"/>
          <w:sz w:val="28"/>
        </w:rPr>
        <w:br w:type="textWrapping"/>
      </w:r>
      <w:r>
        <w:rPr>
          <w:rFonts w:hint="eastAsia" w:ascii="宋体"/>
          <w:sz w:val="28"/>
        </w:rPr>
        <w:t>　　</w:t>
      </w:r>
      <w:r>
        <w:rPr>
          <w:rFonts w:hint="eastAsia" w:ascii="宋体"/>
          <w:sz w:val="28"/>
          <w:lang w:val="en-US" w:eastAsia="zh-CN"/>
        </w:rPr>
        <w:t>3.</w:t>
      </w:r>
      <w:r>
        <w:rPr>
          <w:rFonts w:hint="eastAsia" w:ascii="宋体"/>
          <w:sz w:val="28"/>
        </w:rPr>
        <w:t>本价格评估</w:t>
      </w:r>
      <w:r>
        <w:rPr>
          <w:rFonts w:hint="eastAsia" w:ascii="宋体"/>
          <w:sz w:val="28"/>
          <w:lang w:eastAsia="zh-CN"/>
        </w:rPr>
        <w:t>报告</w:t>
      </w:r>
      <w:r>
        <w:rPr>
          <w:rFonts w:hint="eastAsia" w:ascii="宋体"/>
          <w:sz w:val="28"/>
        </w:rPr>
        <w:t>书中的分析、意见和结论是按照独立、客观、公正的原则做出的；</w:t>
      </w:r>
    </w:p>
    <w:p>
      <w:pPr>
        <w:adjustRightInd w:val="0"/>
        <w:snapToGrid w:val="0"/>
        <w:spacing w:line="360" w:lineRule="auto"/>
        <w:ind w:firstLine="562"/>
        <w:rPr>
          <w:rFonts w:hint="default" w:ascii="宋体"/>
          <w:sz w:val="16"/>
        </w:rPr>
      </w:pPr>
      <w:r>
        <w:rPr>
          <w:rFonts w:hint="eastAsia" w:ascii="宋体"/>
          <w:sz w:val="28"/>
          <w:lang w:val="en-US" w:eastAsia="zh-CN"/>
        </w:rPr>
        <w:t>4.</w:t>
      </w:r>
      <w:r>
        <w:rPr>
          <w:rFonts w:hint="eastAsia" w:ascii="宋体"/>
          <w:sz w:val="28"/>
        </w:rPr>
        <w:t>我们依照</w:t>
      </w:r>
      <w:r>
        <w:rPr>
          <w:rFonts w:hint="eastAsia" w:ascii="宋体"/>
          <w:sz w:val="28"/>
          <w:lang w:eastAsia="zh-CN"/>
        </w:rPr>
        <w:t>相关法律、法规、规程等</w:t>
      </w:r>
      <w:r>
        <w:rPr>
          <w:rFonts w:hint="eastAsia" w:ascii="宋体"/>
          <w:sz w:val="28"/>
        </w:rPr>
        <w:t>进行分析，形成意见和结论，撰写本价格评估</w:t>
      </w:r>
      <w:r>
        <w:rPr>
          <w:rFonts w:hint="eastAsia" w:ascii="宋体"/>
          <w:sz w:val="28"/>
          <w:lang w:eastAsia="zh-CN"/>
        </w:rPr>
        <w:t>报告</w:t>
      </w:r>
      <w:r>
        <w:rPr>
          <w:rFonts w:hint="eastAsia" w:ascii="宋体"/>
          <w:sz w:val="28"/>
        </w:rPr>
        <w:t>；</w:t>
      </w:r>
      <w:r>
        <w:rPr>
          <w:rFonts w:hint="eastAsia" w:ascii="宋体"/>
          <w:sz w:val="28"/>
        </w:rPr>
        <w:br w:type="textWrapping"/>
      </w:r>
      <w:r>
        <w:rPr>
          <w:rFonts w:hint="eastAsia" w:ascii="宋体"/>
          <w:sz w:val="28"/>
        </w:rPr>
        <w:t>　　</w:t>
      </w:r>
      <w:r>
        <w:rPr>
          <w:rFonts w:hint="eastAsia" w:ascii="宋体"/>
          <w:sz w:val="28"/>
          <w:lang w:val="en-US" w:eastAsia="zh-CN"/>
        </w:rPr>
        <w:t>5.</w:t>
      </w:r>
      <w:r>
        <w:rPr>
          <w:rFonts w:hint="eastAsia" w:ascii="宋体"/>
          <w:sz w:val="28"/>
        </w:rPr>
        <w:t>价格评估结论仅对本次委托有效，不作为</w:t>
      </w:r>
      <w:r>
        <w:rPr>
          <w:rFonts w:hint="eastAsia" w:ascii="宋体"/>
          <w:sz w:val="28"/>
          <w:lang w:eastAsia="zh-CN"/>
        </w:rPr>
        <w:t>他用</w:t>
      </w:r>
      <w:r>
        <w:rPr>
          <w:rFonts w:hint="eastAsia" w:ascii="宋体"/>
          <w:sz w:val="28"/>
        </w:rPr>
        <w:t>；</w:t>
      </w:r>
      <w:r>
        <w:rPr>
          <w:rFonts w:hint="eastAsia" w:ascii="宋体"/>
          <w:sz w:val="28"/>
        </w:rPr>
        <w:br w:type="textWrapping"/>
      </w:r>
      <w:r>
        <w:rPr>
          <w:rFonts w:hint="eastAsia" w:ascii="宋体"/>
          <w:sz w:val="28"/>
        </w:rPr>
        <w:t>　　</w:t>
      </w:r>
      <w:r>
        <w:rPr>
          <w:rFonts w:hint="eastAsia" w:ascii="宋体"/>
          <w:sz w:val="28"/>
          <w:lang w:val="en-US" w:eastAsia="zh-CN"/>
        </w:rPr>
        <w:t>6.</w:t>
      </w:r>
      <w:r>
        <w:rPr>
          <w:rFonts w:hint="eastAsia" w:ascii="宋体"/>
          <w:sz w:val="28"/>
        </w:rPr>
        <w:t>评估机构和评估人员与价格评估标的没有利害关系，也与有关当事人没有利害关系；</w:t>
      </w:r>
      <w:r>
        <w:rPr>
          <w:rFonts w:hint="eastAsia" w:ascii="宋体"/>
          <w:sz w:val="28"/>
        </w:rPr>
        <w:br w:type="textWrapping"/>
      </w:r>
      <w:r>
        <w:rPr>
          <w:rFonts w:hint="eastAsia" w:ascii="宋体"/>
          <w:sz w:val="28"/>
        </w:rPr>
        <w:t>　　</w:t>
      </w:r>
      <w:r>
        <w:rPr>
          <w:rFonts w:hint="eastAsia" w:ascii="宋体"/>
          <w:sz w:val="28"/>
          <w:lang w:val="en-US" w:eastAsia="zh-CN"/>
        </w:rPr>
        <w:t>7.</w:t>
      </w:r>
      <w:r>
        <w:rPr>
          <w:rFonts w:hint="eastAsia" w:ascii="宋体"/>
          <w:sz w:val="28"/>
        </w:rPr>
        <w:t>本价格评估结论书有效期为自发文之日起1年。</w:t>
      </w:r>
    </w:p>
    <w:p>
      <w:pPr>
        <w:adjustRightInd w:val="0"/>
        <w:snapToGrid w:val="0"/>
        <w:spacing w:line="360" w:lineRule="auto"/>
        <w:ind w:firstLine="843" w:firstLineChars="300"/>
        <w:rPr>
          <w:rFonts w:hint="eastAsia" w:ascii="宋体"/>
          <w:b/>
          <w:sz w:val="28"/>
          <w:lang w:eastAsia="zh-CN"/>
        </w:rPr>
      </w:pPr>
      <w:r>
        <w:rPr>
          <w:rFonts w:hint="eastAsia" w:ascii="宋体"/>
          <w:b/>
          <w:sz w:val="28"/>
          <w:lang w:eastAsia="zh-CN"/>
        </w:rPr>
        <w:t>十一、价格评估作业日期</w:t>
      </w:r>
    </w:p>
    <w:p>
      <w:pPr>
        <w:adjustRightInd w:val="0"/>
        <w:snapToGrid w:val="0"/>
        <w:spacing w:line="360" w:lineRule="auto"/>
        <w:ind w:firstLine="562"/>
        <w:rPr>
          <w:rFonts w:hint="default" w:ascii="宋体"/>
          <w:sz w:val="16"/>
        </w:rPr>
      </w:pPr>
      <w:r>
        <w:rPr>
          <w:rFonts w:hint="eastAsia" w:ascii="宋体"/>
          <w:sz w:val="28"/>
          <w:lang w:val="en-US" w:eastAsia="zh-CN"/>
        </w:rPr>
        <w:t>2019年12月3日至2020年2月28日</w:t>
      </w:r>
    </w:p>
    <w:p>
      <w:pPr>
        <w:adjustRightInd w:val="0"/>
        <w:snapToGrid w:val="0"/>
        <w:spacing w:line="360" w:lineRule="auto"/>
        <w:ind w:firstLine="829" w:firstLineChars="295"/>
        <w:rPr>
          <w:rFonts w:hint="default" w:ascii="宋体"/>
          <w:b/>
          <w:sz w:val="28"/>
        </w:rPr>
      </w:pPr>
      <w:r>
        <w:rPr>
          <w:rFonts w:hint="eastAsia" w:ascii="宋体"/>
          <w:b/>
          <w:sz w:val="28"/>
        </w:rPr>
        <w:t>十二、价格评估机构</w:t>
      </w:r>
    </w:p>
    <w:p>
      <w:pPr>
        <w:adjustRightInd w:val="0"/>
        <w:snapToGrid w:val="0"/>
        <w:spacing w:line="360" w:lineRule="auto"/>
        <w:ind w:firstLine="601"/>
        <w:rPr>
          <w:rFonts w:hint="default" w:ascii="宋体"/>
          <w:sz w:val="28"/>
        </w:rPr>
      </w:pPr>
      <w:r>
        <w:rPr>
          <w:rFonts w:hint="eastAsia" w:ascii="宋体"/>
          <w:sz w:val="28"/>
        </w:rPr>
        <w:t>机构名称：</w:t>
      </w:r>
      <w:r>
        <w:rPr>
          <w:rFonts w:hint="eastAsia" w:ascii="宋体"/>
          <w:sz w:val="28"/>
          <w:lang w:eastAsia="zh-CN"/>
        </w:rPr>
        <w:t>辽宁艺林瀚海</w:t>
      </w:r>
      <w:r>
        <w:rPr>
          <w:rFonts w:hint="eastAsia" w:ascii="宋体"/>
          <w:sz w:val="28"/>
        </w:rPr>
        <w:t>价格评估有限公司</w:t>
      </w:r>
    </w:p>
    <w:p>
      <w:pPr>
        <w:adjustRightInd w:val="0"/>
        <w:snapToGrid w:val="0"/>
        <w:spacing w:line="360" w:lineRule="auto"/>
        <w:ind w:firstLine="601"/>
        <w:rPr>
          <w:rFonts w:hint="default" w:ascii="宋体"/>
          <w:sz w:val="28"/>
        </w:rPr>
      </w:pPr>
      <w:r>
        <w:rPr>
          <w:rFonts w:hint="eastAsia" w:ascii="宋体"/>
          <w:sz w:val="28"/>
        </w:rPr>
        <w:t>机构资质证书证编号：</w:t>
      </w:r>
      <w:r>
        <w:rPr>
          <w:rFonts w:hint="eastAsia" w:ascii="宋体"/>
          <w:sz w:val="28"/>
          <w:lang w:eastAsia="zh-CN"/>
        </w:rPr>
        <w:t>辽JZ0030</w:t>
      </w:r>
    </w:p>
    <w:p>
      <w:pPr>
        <w:adjustRightInd w:val="0"/>
        <w:snapToGrid w:val="0"/>
        <w:spacing w:line="360" w:lineRule="auto"/>
        <w:ind w:firstLine="562"/>
        <w:rPr>
          <w:rFonts w:hint="eastAsia" w:ascii="宋体"/>
          <w:sz w:val="28"/>
        </w:rPr>
      </w:pPr>
      <w:r>
        <w:rPr>
          <w:rFonts w:hint="eastAsia" w:ascii="宋体"/>
          <w:sz w:val="28"/>
        </w:rPr>
        <w:t>机构法定代表人：</w:t>
      </w:r>
      <w:r>
        <w:rPr>
          <w:rFonts w:hint="eastAsia" w:ascii="宋体"/>
          <w:sz w:val="28"/>
          <w:lang w:val="en-US" w:eastAsia="zh-CN"/>
        </w:rPr>
        <w:t xml:space="preserve"> </w:t>
      </w:r>
      <w:r>
        <w:rPr>
          <w:rFonts w:hint="eastAsia" w:ascii="宋体"/>
          <w:sz w:val="28"/>
        </w:rPr>
        <w:t>（签章）</w:t>
      </w:r>
    </w:p>
    <w:p>
      <w:pPr>
        <w:adjustRightInd w:val="0"/>
        <w:snapToGrid w:val="0"/>
        <w:spacing w:line="360" w:lineRule="auto"/>
        <w:ind w:firstLine="562"/>
        <w:rPr>
          <w:rFonts w:hint="eastAsia" w:ascii="宋体"/>
          <w:sz w:val="28"/>
        </w:rPr>
      </w:pPr>
    </w:p>
    <w:p>
      <w:pPr>
        <w:numPr>
          <w:ilvl w:val="0"/>
          <w:numId w:val="0"/>
        </w:numPr>
        <w:adjustRightInd w:val="0"/>
        <w:snapToGrid w:val="0"/>
        <w:spacing w:line="720" w:lineRule="auto"/>
        <w:ind w:left="756" w:leftChars="360" w:firstLine="82" w:firstLineChars="29"/>
        <w:rPr>
          <w:rFonts w:hint="eastAsia" w:ascii="宋体"/>
          <w:sz w:val="28"/>
        </w:rPr>
      </w:pPr>
      <w:r>
        <w:rPr>
          <w:rFonts w:hint="eastAsia" w:ascii="宋体"/>
          <w:b/>
          <w:sz w:val="28"/>
          <w:lang w:eastAsia="zh-CN"/>
        </w:rPr>
        <w:t>十三、</w:t>
      </w:r>
      <w:r>
        <w:rPr>
          <w:rFonts w:hint="eastAsia" w:ascii="宋体"/>
          <w:b/>
          <w:sz w:val="28"/>
        </w:rPr>
        <w:t>价格评估人员</w:t>
      </w:r>
      <w:r>
        <w:rPr>
          <w:rFonts w:hint="default" w:ascii="宋体"/>
          <w:sz w:val="28"/>
        </w:rPr>
        <w:t>　　　</w:t>
      </w:r>
      <w:r>
        <w:rPr>
          <w:rFonts w:hint="eastAsia" w:ascii="宋体"/>
          <w:sz w:val="28"/>
        </w:rPr>
        <w:t>　</w:t>
      </w:r>
      <w:r>
        <w:rPr>
          <w:rFonts w:hint="default" w:ascii="宋体"/>
          <w:sz w:val="28"/>
        </w:rPr>
        <w:t>　　　　　</w:t>
      </w:r>
    </w:p>
    <w:p>
      <w:pPr>
        <w:adjustRightInd w:val="0"/>
        <w:snapToGrid w:val="0"/>
        <w:spacing w:line="720" w:lineRule="auto"/>
        <w:ind w:firstLine="560" w:firstLineChars="200"/>
        <w:rPr>
          <w:rFonts w:hint="eastAsia" w:ascii="宋体"/>
          <w:sz w:val="21"/>
          <w:szCs w:val="21"/>
        </w:rPr>
      </w:pPr>
      <w:r>
        <w:rPr>
          <w:rFonts w:hint="eastAsia" w:ascii="宋体"/>
          <w:sz w:val="28"/>
        </w:rPr>
        <w:t xml:space="preserve">价格评估人员 </w:t>
      </w:r>
      <w:r>
        <w:rPr>
          <w:rFonts w:hint="eastAsia" w:ascii="宋体"/>
          <w:sz w:val="28"/>
        </w:rPr>
        <w:br w:type="textWrapping"/>
      </w:r>
      <w:r>
        <w:rPr>
          <w:rFonts w:hint="eastAsia" w:ascii="宋体"/>
          <w:sz w:val="28"/>
        </w:rPr>
        <w:t>　</w:t>
      </w:r>
      <w:r>
        <w:rPr>
          <w:rFonts w:hint="eastAsia" w:ascii="宋体"/>
          <w:sz w:val="21"/>
          <w:szCs w:val="21"/>
        </w:rPr>
        <w:t>　</w:t>
      </w:r>
    </w:p>
    <w:p>
      <w:pPr>
        <w:adjustRightInd w:val="0"/>
        <w:snapToGrid w:val="0"/>
        <w:spacing w:line="720" w:lineRule="auto"/>
        <w:ind w:firstLine="560" w:firstLineChars="200"/>
        <w:rPr>
          <w:rFonts w:hint="eastAsia" w:ascii="宋体"/>
          <w:sz w:val="28"/>
        </w:rPr>
      </w:pPr>
      <w:r>
        <w:rPr>
          <w:rFonts w:hint="eastAsia" w:ascii="宋体"/>
          <w:sz w:val="28"/>
        </w:rPr>
        <w:t xml:space="preserve">价格评估人员 </w:t>
      </w:r>
    </w:p>
    <w:p>
      <w:pPr>
        <w:adjustRightInd w:val="0"/>
        <w:snapToGrid w:val="0"/>
        <w:spacing w:line="720" w:lineRule="auto"/>
        <w:ind w:firstLine="560" w:firstLineChars="200"/>
        <w:rPr>
          <w:rFonts w:hint="eastAsia" w:ascii="宋体"/>
          <w:sz w:val="28"/>
        </w:rPr>
      </w:pPr>
    </w:p>
    <w:p>
      <w:pPr>
        <w:adjustRightInd w:val="0"/>
        <w:snapToGrid w:val="0"/>
        <w:spacing w:line="720" w:lineRule="auto"/>
        <w:ind w:firstLine="560" w:firstLineChars="200"/>
        <w:rPr>
          <w:rFonts w:hint="eastAsia" w:ascii="宋体"/>
          <w:sz w:val="28"/>
        </w:rPr>
      </w:pPr>
    </w:p>
    <w:p>
      <w:pPr>
        <w:adjustRightInd w:val="0"/>
        <w:snapToGrid w:val="0"/>
        <w:spacing w:line="720" w:lineRule="auto"/>
        <w:rPr>
          <w:rFonts w:hint="eastAsia" w:ascii="宋体"/>
          <w:sz w:val="28"/>
        </w:rPr>
      </w:pPr>
    </w:p>
    <w:p>
      <w:pPr>
        <w:numPr>
          <w:ilvl w:val="0"/>
          <w:numId w:val="0"/>
        </w:numPr>
        <w:adjustRightInd w:val="0"/>
        <w:snapToGrid w:val="0"/>
        <w:spacing w:line="360" w:lineRule="auto"/>
        <w:ind w:left="0" w:leftChars="0" w:firstLine="843" w:firstLineChars="300"/>
        <w:rPr>
          <w:rFonts w:hint="eastAsia" w:ascii="宋体"/>
          <w:b/>
          <w:sz w:val="28"/>
        </w:rPr>
      </w:pPr>
      <w:r>
        <w:rPr>
          <w:rFonts w:hint="eastAsia" w:ascii="宋体"/>
          <w:b/>
          <w:sz w:val="28"/>
          <w:lang w:eastAsia="zh-CN"/>
        </w:rPr>
        <w:t>十四、</w:t>
      </w:r>
      <w:r>
        <w:rPr>
          <w:rFonts w:hint="eastAsia" w:ascii="宋体"/>
          <w:b/>
          <w:sz w:val="28"/>
        </w:rPr>
        <w:t>附件</w:t>
      </w:r>
    </w:p>
    <w:p>
      <w:pPr>
        <w:numPr>
          <w:ilvl w:val="0"/>
          <w:numId w:val="0"/>
        </w:numPr>
        <w:adjustRightInd w:val="0"/>
        <w:snapToGrid w:val="0"/>
        <w:spacing w:line="360" w:lineRule="auto"/>
        <w:ind w:firstLine="560" w:firstLineChars="200"/>
        <w:rPr>
          <w:rFonts w:hint="eastAsia" w:ascii="宋体"/>
          <w:sz w:val="28"/>
          <w:lang w:val="en-US" w:eastAsia="zh-CN"/>
        </w:rPr>
      </w:pPr>
      <w:r>
        <w:rPr>
          <w:rFonts w:hint="eastAsia" w:ascii="宋体"/>
          <w:sz w:val="28"/>
          <w:lang w:val="en-US" w:eastAsia="zh-CN"/>
        </w:rPr>
        <w:t>1、实物照片；</w:t>
      </w:r>
    </w:p>
    <w:p>
      <w:pPr>
        <w:numPr>
          <w:ilvl w:val="0"/>
          <w:numId w:val="0"/>
        </w:numPr>
        <w:adjustRightInd w:val="0"/>
        <w:snapToGrid w:val="0"/>
        <w:spacing w:line="360" w:lineRule="auto"/>
        <w:ind w:firstLine="560" w:firstLineChars="200"/>
        <w:rPr>
          <w:rFonts w:hint="eastAsia" w:ascii="宋体"/>
          <w:sz w:val="28"/>
          <w:lang w:val="en-US" w:eastAsia="zh-CN"/>
        </w:rPr>
      </w:pPr>
      <w:r>
        <w:rPr>
          <w:rFonts w:hint="eastAsia" w:ascii="宋体"/>
          <w:sz w:val="28"/>
          <w:lang w:val="en-US" w:eastAsia="zh-CN"/>
        </w:rPr>
        <w:t>2、价格评估报告汇总表；</w:t>
      </w:r>
    </w:p>
    <w:p>
      <w:pPr>
        <w:numPr>
          <w:ilvl w:val="0"/>
          <w:numId w:val="0"/>
        </w:numPr>
        <w:adjustRightInd w:val="0"/>
        <w:snapToGrid w:val="0"/>
        <w:spacing w:line="360" w:lineRule="auto"/>
        <w:ind w:firstLine="560" w:firstLineChars="200"/>
        <w:rPr>
          <w:rFonts w:hint="default" w:ascii="宋体"/>
          <w:sz w:val="28"/>
          <w:lang w:val="en-US" w:eastAsia="zh-CN"/>
        </w:rPr>
      </w:pPr>
      <w:r>
        <w:rPr>
          <w:rFonts w:hint="eastAsia" w:ascii="宋体"/>
          <w:sz w:val="28"/>
          <w:lang w:val="en-US" w:eastAsia="zh-CN"/>
        </w:rPr>
        <w:t>3、价格评估报告明细表；</w:t>
      </w:r>
    </w:p>
    <w:p>
      <w:pPr>
        <w:numPr>
          <w:ilvl w:val="0"/>
          <w:numId w:val="0"/>
        </w:numPr>
        <w:adjustRightInd w:val="0"/>
        <w:snapToGrid w:val="0"/>
        <w:spacing w:line="360" w:lineRule="auto"/>
        <w:ind w:firstLine="560" w:firstLineChars="200"/>
        <w:rPr>
          <w:rFonts w:hint="eastAsia" w:ascii="宋体"/>
          <w:sz w:val="32"/>
          <w:szCs w:val="32"/>
          <w:lang w:val="en-US" w:eastAsia="zh-CN"/>
        </w:rPr>
      </w:pPr>
      <w:r>
        <w:rPr>
          <w:rFonts w:hint="eastAsia" w:ascii="宋体"/>
          <w:sz w:val="28"/>
          <w:lang w:val="en-US" w:eastAsia="zh-CN"/>
        </w:rPr>
        <w:t>4、沈阳市中级人民法院</w:t>
      </w:r>
      <w:r>
        <w:rPr>
          <w:rFonts w:hint="eastAsia" w:ascii="宋体"/>
          <w:sz w:val="28"/>
          <w:lang w:eastAsia="zh-CN"/>
        </w:rPr>
        <w:t>委托选定评估机构函</w:t>
      </w:r>
      <w:r>
        <w:rPr>
          <w:rFonts w:hint="eastAsia" w:ascii="宋体"/>
          <w:sz w:val="28"/>
        </w:rPr>
        <w:t>复印件；</w:t>
      </w:r>
      <w:r>
        <w:rPr>
          <w:rFonts w:hint="eastAsia" w:ascii="宋体"/>
          <w:sz w:val="28"/>
        </w:rPr>
        <w:br w:type="textWrapping"/>
      </w:r>
      <w:r>
        <w:rPr>
          <w:rFonts w:hint="eastAsia" w:ascii="宋体"/>
          <w:sz w:val="28"/>
        </w:rPr>
        <w:t>　　</w:t>
      </w:r>
      <w:r>
        <w:rPr>
          <w:rFonts w:hint="eastAsia" w:ascii="宋体"/>
          <w:sz w:val="28"/>
          <w:lang w:val="en-US" w:eastAsia="zh-CN"/>
        </w:rPr>
        <w:t>5、</w:t>
      </w:r>
      <w:r>
        <w:rPr>
          <w:rFonts w:hint="eastAsia" w:ascii="宋体"/>
          <w:sz w:val="28"/>
        </w:rPr>
        <w:t>价格评估人员资质证书复印件；</w:t>
      </w:r>
      <w:r>
        <w:rPr>
          <w:rFonts w:hint="eastAsia" w:ascii="宋体"/>
          <w:sz w:val="28"/>
        </w:rPr>
        <w:br w:type="textWrapping"/>
      </w:r>
      <w:r>
        <w:rPr>
          <w:rFonts w:hint="eastAsia" w:ascii="宋体"/>
          <w:sz w:val="28"/>
        </w:rPr>
        <w:t>　　</w:t>
      </w:r>
      <w:r>
        <w:rPr>
          <w:rFonts w:hint="eastAsia" w:ascii="宋体"/>
          <w:sz w:val="28"/>
          <w:lang w:val="en-US" w:eastAsia="zh-CN"/>
        </w:rPr>
        <w:t>6、</w:t>
      </w:r>
      <w:r>
        <w:rPr>
          <w:rFonts w:hint="eastAsia" w:ascii="宋体"/>
          <w:sz w:val="28"/>
        </w:rPr>
        <w:t>价格评估机构资质证书复印件；</w:t>
      </w:r>
      <w:r>
        <w:rPr>
          <w:rFonts w:hint="eastAsia" w:ascii="宋体"/>
          <w:sz w:val="28"/>
        </w:rPr>
        <w:br w:type="textWrapping"/>
      </w:r>
      <w:r>
        <w:rPr>
          <w:rFonts w:hint="eastAsia" w:ascii="宋体"/>
          <w:sz w:val="28"/>
        </w:rPr>
        <w:t>　　</w:t>
      </w:r>
      <w:r>
        <w:rPr>
          <w:rFonts w:hint="eastAsia" w:ascii="宋体"/>
          <w:sz w:val="28"/>
          <w:lang w:val="en-US" w:eastAsia="zh-CN"/>
        </w:rPr>
        <w:t>7、</w:t>
      </w:r>
      <w:r>
        <w:rPr>
          <w:rFonts w:hint="eastAsia" w:ascii="宋体"/>
          <w:sz w:val="28"/>
        </w:rPr>
        <w:t>价格评估机构营业执照（副本）复印件。</w:t>
      </w:r>
    </w:p>
    <w:p>
      <w:pPr>
        <w:wordWrap w:val="0"/>
        <w:adjustRightInd w:val="0"/>
        <w:snapToGrid w:val="0"/>
        <w:spacing w:line="360" w:lineRule="auto"/>
        <w:ind w:left="560" w:hanging="560" w:hangingChars="200"/>
        <w:jc w:val="right"/>
        <w:rPr>
          <w:rFonts w:hint="eastAsia" w:ascii="宋体"/>
          <w:sz w:val="28"/>
          <w:szCs w:val="28"/>
        </w:rPr>
      </w:pPr>
      <w:r>
        <w:rPr>
          <w:rFonts w:hint="eastAsia" w:ascii="宋体"/>
          <w:sz w:val="28"/>
          <w:szCs w:val="28"/>
        </w:rPr>
        <w:t xml:space="preserve">  </w:t>
      </w:r>
    </w:p>
    <w:p>
      <w:pPr>
        <w:wordWrap w:val="0"/>
        <w:adjustRightInd w:val="0"/>
        <w:snapToGrid w:val="0"/>
        <w:spacing w:line="360" w:lineRule="auto"/>
        <w:ind w:left="560" w:hanging="560" w:hangingChars="200"/>
        <w:jc w:val="right"/>
        <w:rPr>
          <w:rFonts w:hint="default" w:ascii="宋体" w:hAnsi="宋体"/>
          <w:sz w:val="28"/>
          <w:szCs w:val="28"/>
        </w:rPr>
      </w:pPr>
      <w:r>
        <w:rPr>
          <w:rFonts w:hint="eastAsia" w:ascii="宋体"/>
          <w:sz w:val="28"/>
          <w:szCs w:val="28"/>
        </w:rPr>
        <w:t xml:space="preserve"> 辽宁</w:t>
      </w:r>
      <w:r>
        <w:rPr>
          <w:rFonts w:hint="eastAsia" w:ascii="宋体"/>
          <w:sz w:val="28"/>
          <w:szCs w:val="28"/>
          <w:lang w:eastAsia="zh-CN"/>
        </w:rPr>
        <w:t>艺林瀚海价格评估有限公司</w:t>
      </w:r>
      <w:r>
        <w:rPr>
          <w:rFonts w:hint="eastAsia" w:ascii="宋体"/>
          <w:sz w:val="28"/>
          <w:szCs w:val="28"/>
        </w:rPr>
        <w:t xml:space="preserve">   </w:t>
      </w:r>
    </w:p>
    <w:p>
      <w:pPr>
        <w:ind w:right="560"/>
        <w:jc w:val="center"/>
        <w:rPr>
          <w:rFonts w:hint="eastAsia" w:ascii="宋体" w:hAnsi="宋体"/>
          <w:sz w:val="28"/>
          <w:szCs w:val="28"/>
        </w:rPr>
        <w:sectPr>
          <w:footerReference r:id="rId8" w:type="default"/>
          <w:pgSz w:w="11906" w:h="16838"/>
          <w:pgMar w:top="1440" w:right="1800" w:bottom="1440" w:left="1800" w:header="851" w:footer="992" w:gutter="0"/>
          <w:pgNumType w:fmt="numberInDash" w:start="1"/>
          <w:cols w:space="720" w:num="1"/>
          <w:docGrid w:type="lines" w:linePitch="312" w:charSpace="0"/>
        </w:sectPr>
      </w:pPr>
      <w:r>
        <w:rPr>
          <w:rFonts w:hint="eastAsia" w:ascii="宋体" w:hAnsi="宋体"/>
          <w:sz w:val="28"/>
          <w:szCs w:val="28"/>
        </w:rPr>
        <w:t xml:space="preserve">                             二〇二〇年</w:t>
      </w:r>
      <w:r>
        <w:rPr>
          <w:rFonts w:hint="eastAsia" w:ascii="宋体" w:hAnsi="宋体"/>
          <w:sz w:val="28"/>
          <w:szCs w:val="28"/>
          <w:lang w:eastAsia="zh-CN"/>
        </w:rPr>
        <w:t>二</w:t>
      </w:r>
      <w:r>
        <w:rPr>
          <w:rFonts w:hint="eastAsia" w:ascii="宋体" w:hAnsi="宋体"/>
          <w:sz w:val="28"/>
          <w:szCs w:val="28"/>
        </w:rPr>
        <w:t>月</w:t>
      </w:r>
      <w:r>
        <w:rPr>
          <w:rFonts w:hint="eastAsia" w:ascii="宋体" w:hAnsi="宋体"/>
          <w:sz w:val="28"/>
          <w:szCs w:val="28"/>
          <w:lang w:eastAsia="zh-CN"/>
        </w:rPr>
        <w:t>二十八</w:t>
      </w:r>
      <w:r>
        <w:rPr>
          <w:rFonts w:hint="eastAsia" w:ascii="宋体" w:hAnsi="宋体"/>
          <w:sz w:val="28"/>
          <w:szCs w:val="28"/>
        </w:rPr>
        <w:t>日</w:t>
      </w:r>
      <w:r>
        <w:rPr>
          <w:rFonts w:hint="eastAsia" w:ascii="宋体" w:hAnsi="宋体"/>
          <w:sz w:val="28"/>
          <w:szCs w:val="28"/>
          <w:lang w:val="en-US" w:eastAsia="zh-CN"/>
        </w:rPr>
        <w:t xml:space="preserve"> </w:t>
      </w:r>
    </w:p>
    <w:p>
      <w:pPr>
        <w:ind w:right="560"/>
        <w:jc w:val="center"/>
        <w:rPr>
          <w:rFonts w:hint="eastAsia" w:ascii="宋体"/>
          <w:b/>
          <w:sz w:val="40"/>
          <w:lang w:val="en-US" w:eastAsia="zh-CN"/>
        </w:rPr>
      </w:pPr>
      <w:r>
        <w:rPr>
          <w:rFonts w:hint="eastAsia" w:ascii="宋体"/>
          <w:b/>
          <w:sz w:val="40"/>
        </w:rPr>
        <w:t>实  物  照  片</w:t>
      </w:r>
      <w:r>
        <w:rPr>
          <w:rFonts w:hint="eastAsia" w:ascii="宋体"/>
          <w:b/>
          <w:sz w:val="40"/>
          <w:lang w:val="en-US" w:eastAsia="zh-CN"/>
        </w:rPr>
        <w:t xml:space="preserve"> </w:t>
      </w:r>
    </w:p>
    <w:p>
      <w:pPr>
        <w:ind w:right="560"/>
        <w:jc w:val="center"/>
        <w:rPr>
          <w:rFonts w:hint="eastAsia" w:ascii="宋体" w:eastAsia="宋体"/>
          <w:b/>
          <w:sz w:val="40"/>
          <w:lang w:val="en-US" w:eastAsia="zh-CN"/>
        </w:rPr>
      </w:pPr>
      <w:r>
        <w:rPr>
          <w:rFonts w:hint="eastAsia" w:ascii="宋体"/>
          <w:b/>
          <w:sz w:val="40"/>
          <w:lang w:val="en-US" w:eastAsia="zh-CN"/>
        </w:rPr>
        <w:t>（杂 项 物 品 类）</w:t>
      </w:r>
    </w:p>
    <w:p>
      <w:pPr>
        <w:ind w:right="560"/>
        <w:jc w:val="center"/>
        <w:rPr>
          <w:rFonts w:hint="eastAsia" w:ascii="宋体"/>
          <w:b/>
          <w:sz w:val="15"/>
          <w:szCs w:val="15"/>
        </w:rPr>
      </w:pPr>
    </w:p>
    <w:p>
      <w:pPr>
        <w:ind w:right="560"/>
        <w:jc w:val="center"/>
        <w:rPr>
          <w:rFonts w:hint="eastAsia" w:ascii="宋体" w:eastAsia="宋体"/>
          <w:b/>
          <w:sz w:val="15"/>
          <w:szCs w:val="15"/>
          <w:lang w:eastAsia="zh-CN"/>
        </w:rPr>
      </w:pPr>
      <w:r>
        <w:rPr>
          <w:rFonts w:hint="eastAsia" w:ascii="宋体" w:eastAsia="宋体"/>
          <w:b/>
          <w:sz w:val="15"/>
          <w:szCs w:val="15"/>
          <w:lang w:eastAsia="zh-CN"/>
        </w:rPr>
        <w:drawing>
          <wp:inline distT="0" distB="0" distL="114300" distR="114300">
            <wp:extent cx="1800225" cy="1080135"/>
            <wp:effectExtent l="0" t="0" r="9525" b="5715"/>
            <wp:docPr id="8" name="图片 8" descr="DSC_1266"/>
            <wp:cNvGraphicFramePr/>
            <a:graphic xmlns:a="http://schemas.openxmlformats.org/drawingml/2006/main">
              <a:graphicData uri="http://schemas.openxmlformats.org/drawingml/2006/picture">
                <pic:pic xmlns:pic="http://schemas.openxmlformats.org/drawingml/2006/picture">
                  <pic:nvPicPr>
                    <pic:cNvPr id="8" name="图片 8" descr="DSC_1266"/>
                    <pic:cNvPicPr/>
                  </pic:nvPicPr>
                  <pic:blipFill>
                    <a:blip r:embed="rId12"/>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9" name="图片 9" descr="DSC_1272"/>
            <wp:cNvGraphicFramePr/>
            <a:graphic xmlns:a="http://schemas.openxmlformats.org/drawingml/2006/main">
              <a:graphicData uri="http://schemas.openxmlformats.org/drawingml/2006/picture">
                <pic:pic xmlns:pic="http://schemas.openxmlformats.org/drawingml/2006/picture">
                  <pic:nvPicPr>
                    <pic:cNvPr id="9" name="图片 9" descr="DSC_1272"/>
                    <pic:cNvPicPr/>
                  </pic:nvPicPr>
                  <pic:blipFill>
                    <a:blip r:embed="rId13"/>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10" name="图片 10" descr="DSC_1279"/>
            <wp:cNvGraphicFramePr/>
            <a:graphic xmlns:a="http://schemas.openxmlformats.org/drawingml/2006/main">
              <a:graphicData uri="http://schemas.openxmlformats.org/drawingml/2006/picture">
                <pic:pic xmlns:pic="http://schemas.openxmlformats.org/drawingml/2006/picture">
                  <pic:nvPicPr>
                    <pic:cNvPr id="10" name="图片 10" descr="DSC_1279"/>
                    <pic:cNvPicPr/>
                  </pic:nvPicPr>
                  <pic:blipFill>
                    <a:blip r:embed="rId14"/>
                    <a:stretch>
                      <a:fillRect/>
                    </a:stretch>
                  </pic:blipFill>
                  <pic:spPr>
                    <a:xfrm>
                      <a:off x="0" y="0"/>
                      <a:ext cx="1800225" cy="1080135"/>
                    </a:xfrm>
                    <a:prstGeom prst="rect">
                      <a:avLst/>
                    </a:prstGeom>
                  </pic:spPr>
                </pic:pic>
              </a:graphicData>
            </a:graphic>
          </wp:inline>
        </w:drawing>
      </w:r>
    </w:p>
    <w:p>
      <w:pPr>
        <w:ind w:right="560"/>
        <w:jc w:val="center"/>
        <w:rPr>
          <w:rFonts w:hint="eastAsia"/>
          <w:lang w:val="en-US" w:eastAsia="zh-CN"/>
        </w:rPr>
      </w:pPr>
      <w:r>
        <w:rPr>
          <w:rFonts w:hint="eastAsia" w:ascii="宋体" w:hAnsi="宋体"/>
          <w:sz w:val="28"/>
          <w:szCs w:val="28"/>
          <w:lang w:val="en-US" w:eastAsia="zh-CN"/>
        </w:rPr>
        <w:drawing>
          <wp:inline distT="0" distB="0" distL="114300" distR="114300">
            <wp:extent cx="1800225" cy="1080135"/>
            <wp:effectExtent l="0" t="0" r="9525" b="5715"/>
            <wp:docPr id="11" name="图片 11" descr="DSC_1283"/>
            <wp:cNvGraphicFramePr/>
            <a:graphic xmlns:a="http://schemas.openxmlformats.org/drawingml/2006/main">
              <a:graphicData uri="http://schemas.openxmlformats.org/drawingml/2006/picture">
                <pic:pic xmlns:pic="http://schemas.openxmlformats.org/drawingml/2006/picture">
                  <pic:nvPicPr>
                    <pic:cNvPr id="11" name="图片 11" descr="DSC_1283"/>
                    <pic:cNvPicPr/>
                  </pic:nvPicPr>
                  <pic:blipFill>
                    <a:blip r:embed="rId15"/>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12" name="图片 12" descr="DSC_1286"/>
            <wp:cNvGraphicFramePr/>
            <a:graphic xmlns:a="http://schemas.openxmlformats.org/drawingml/2006/main">
              <a:graphicData uri="http://schemas.openxmlformats.org/drawingml/2006/picture">
                <pic:pic xmlns:pic="http://schemas.openxmlformats.org/drawingml/2006/picture">
                  <pic:nvPicPr>
                    <pic:cNvPr id="12" name="图片 12" descr="DSC_1286"/>
                    <pic:cNvPicPr/>
                  </pic:nvPicPr>
                  <pic:blipFill>
                    <a:blip r:embed="rId16"/>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13" name="图片 13" descr="DSC_1295"/>
            <wp:cNvGraphicFramePr/>
            <a:graphic xmlns:a="http://schemas.openxmlformats.org/drawingml/2006/main">
              <a:graphicData uri="http://schemas.openxmlformats.org/drawingml/2006/picture">
                <pic:pic xmlns:pic="http://schemas.openxmlformats.org/drawingml/2006/picture">
                  <pic:nvPicPr>
                    <pic:cNvPr id="13" name="图片 13" descr="DSC_1295"/>
                    <pic:cNvPicPr/>
                  </pic:nvPicPr>
                  <pic:blipFill>
                    <a:blip r:embed="rId17"/>
                    <a:stretch>
                      <a:fillRect/>
                    </a:stretch>
                  </pic:blipFill>
                  <pic:spPr>
                    <a:xfrm>
                      <a:off x="0" y="0"/>
                      <a:ext cx="1800225" cy="1080135"/>
                    </a:xfrm>
                    <a:prstGeom prst="rect">
                      <a:avLst/>
                    </a:prstGeom>
                  </pic:spPr>
                </pic:pic>
              </a:graphicData>
            </a:graphic>
          </wp:inline>
        </w:drawing>
      </w:r>
    </w:p>
    <w:p>
      <w:pPr>
        <w:ind w:right="560"/>
        <w:jc w:val="center"/>
        <w:rPr>
          <w:rFonts w:hint="eastAsia"/>
          <w:lang w:val="en-US" w:eastAsia="zh-CN"/>
        </w:rPr>
      </w:pPr>
      <w:r>
        <w:rPr>
          <w:rFonts w:hint="eastAsia"/>
          <w:lang w:val="en-US" w:eastAsia="zh-CN"/>
        </w:rPr>
        <w:drawing>
          <wp:inline distT="0" distB="0" distL="114300" distR="114300">
            <wp:extent cx="1800225" cy="1080135"/>
            <wp:effectExtent l="0" t="0" r="9525" b="5715"/>
            <wp:docPr id="14" name="图片 14" descr="DSC_1301"/>
            <wp:cNvGraphicFramePr/>
            <a:graphic xmlns:a="http://schemas.openxmlformats.org/drawingml/2006/main">
              <a:graphicData uri="http://schemas.openxmlformats.org/drawingml/2006/picture">
                <pic:pic xmlns:pic="http://schemas.openxmlformats.org/drawingml/2006/picture">
                  <pic:nvPicPr>
                    <pic:cNvPr id="14" name="图片 14" descr="DSC_1301"/>
                    <pic:cNvPicPr/>
                  </pic:nvPicPr>
                  <pic:blipFill>
                    <a:blip r:embed="rId18"/>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15" name="图片 15" descr="DSC_1305"/>
            <wp:cNvGraphicFramePr/>
            <a:graphic xmlns:a="http://schemas.openxmlformats.org/drawingml/2006/main">
              <a:graphicData uri="http://schemas.openxmlformats.org/drawingml/2006/picture">
                <pic:pic xmlns:pic="http://schemas.openxmlformats.org/drawingml/2006/picture">
                  <pic:nvPicPr>
                    <pic:cNvPr id="15" name="图片 15" descr="DSC_1305"/>
                    <pic:cNvPicPr/>
                  </pic:nvPicPr>
                  <pic:blipFill>
                    <a:blip r:embed="rId19"/>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16" name="图片 16" descr="DSC_1308"/>
            <wp:cNvGraphicFramePr/>
            <a:graphic xmlns:a="http://schemas.openxmlformats.org/drawingml/2006/main">
              <a:graphicData uri="http://schemas.openxmlformats.org/drawingml/2006/picture">
                <pic:pic xmlns:pic="http://schemas.openxmlformats.org/drawingml/2006/picture">
                  <pic:nvPicPr>
                    <pic:cNvPr id="16" name="图片 16" descr="DSC_1308"/>
                    <pic:cNvPicPr/>
                  </pic:nvPicPr>
                  <pic:blipFill>
                    <a:blip r:embed="rId20"/>
                    <a:stretch>
                      <a:fillRect/>
                    </a:stretch>
                  </pic:blipFill>
                  <pic:spPr>
                    <a:xfrm>
                      <a:off x="0" y="0"/>
                      <a:ext cx="1800225" cy="1080135"/>
                    </a:xfrm>
                    <a:prstGeom prst="rect">
                      <a:avLst/>
                    </a:prstGeom>
                  </pic:spPr>
                </pic:pic>
              </a:graphicData>
            </a:graphic>
          </wp:inline>
        </w:drawing>
      </w: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29" name="图片 29" descr="DSC_1312"/>
            <wp:cNvGraphicFramePr/>
            <a:graphic xmlns:a="http://schemas.openxmlformats.org/drawingml/2006/main">
              <a:graphicData uri="http://schemas.openxmlformats.org/drawingml/2006/picture">
                <pic:pic xmlns:pic="http://schemas.openxmlformats.org/drawingml/2006/picture">
                  <pic:nvPicPr>
                    <pic:cNvPr id="29" name="图片 29" descr="DSC_1312"/>
                    <pic:cNvPicPr/>
                  </pic:nvPicPr>
                  <pic:blipFill>
                    <a:blip r:embed="rId21"/>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30" name="图片 30" descr="DSC_1318"/>
            <wp:cNvGraphicFramePr/>
            <a:graphic xmlns:a="http://schemas.openxmlformats.org/drawingml/2006/main">
              <a:graphicData uri="http://schemas.openxmlformats.org/drawingml/2006/picture">
                <pic:pic xmlns:pic="http://schemas.openxmlformats.org/drawingml/2006/picture">
                  <pic:nvPicPr>
                    <pic:cNvPr id="30" name="图片 30" descr="DSC_1318"/>
                    <pic:cNvPicPr/>
                  </pic:nvPicPr>
                  <pic:blipFill>
                    <a:blip r:embed="rId22"/>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31" name="图片 31" descr="DSC_1323"/>
            <wp:cNvGraphicFramePr/>
            <a:graphic xmlns:a="http://schemas.openxmlformats.org/drawingml/2006/main">
              <a:graphicData uri="http://schemas.openxmlformats.org/drawingml/2006/picture">
                <pic:pic xmlns:pic="http://schemas.openxmlformats.org/drawingml/2006/picture">
                  <pic:nvPicPr>
                    <pic:cNvPr id="31" name="图片 31" descr="DSC_1323"/>
                    <pic:cNvPicPr/>
                  </pic:nvPicPr>
                  <pic:blipFill>
                    <a:blip r:embed="rId23"/>
                    <a:stretch>
                      <a:fillRect/>
                    </a:stretch>
                  </pic:blipFill>
                  <pic:spPr>
                    <a:xfrm>
                      <a:off x="0" y="0"/>
                      <a:ext cx="1800225" cy="1080135"/>
                    </a:xfrm>
                    <a:prstGeom prst="rect">
                      <a:avLst/>
                    </a:prstGeom>
                  </pic:spPr>
                </pic:pic>
              </a:graphicData>
            </a:graphic>
          </wp:inline>
        </w:drawing>
      </w: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32" name="图片 32" descr="DSC_1330"/>
            <wp:cNvGraphicFramePr/>
            <a:graphic xmlns:a="http://schemas.openxmlformats.org/drawingml/2006/main">
              <a:graphicData uri="http://schemas.openxmlformats.org/drawingml/2006/picture">
                <pic:pic xmlns:pic="http://schemas.openxmlformats.org/drawingml/2006/picture">
                  <pic:nvPicPr>
                    <pic:cNvPr id="32" name="图片 32" descr="DSC_1330"/>
                    <pic:cNvPicPr/>
                  </pic:nvPicPr>
                  <pic:blipFill>
                    <a:blip r:embed="rId24"/>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33" name="图片 33" descr="DSC_1333"/>
            <wp:cNvGraphicFramePr/>
            <a:graphic xmlns:a="http://schemas.openxmlformats.org/drawingml/2006/main">
              <a:graphicData uri="http://schemas.openxmlformats.org/drawingml/2006/picture">
                <pic:pic xmlns:pic="http://schemas.openxmlformats.org/drawingml/2006/picture">
                  <pic:nvPicPr>
                    <pic:cNvPr id="33" name="图片 33" descr="DSC_1333"/>
                    <pic:cNvPicPr/>
                  </pic:nvPicPr>
                  <pic:blipFill>
                    <a:blip r:embed="rId25"/>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34" name="图片 34" descr="DSC_1345"/>
            <wp:cNvGraphicFramePr/>
            <a:graphic xmlns:a="http://schemas.openxmlformats.org/drawingml/2006/main">
              <a:graphicData uri="http://schemas.openxmlformats.org/drawingml/2006/picture">
                <pic:pic xmlns:pic="http://schemas.openxmlformats.org/drawingml/2006/picture">
                  <pic:nvPicPr>
                    <pic:cNvPr id="34" name="图片 34" descr="DSC_1345"/>
                    <pic:cNvPicPr/>
                  </pic:nvPicPr>
                  <pic:blipFill>
                    <a:blip r:embed="rId26"/>
                    <a:stretch>
                      <a:fillRect/>
                    </a:stretch>
                  </pic:blipFill>
                  <pic:spPr>
                    <a:xfrm>
                      <a:off x="0" y="0"/>
                      <a:ext cx="1800225" cy="1080135"/>
                    </a:xfrm>
                    <a:prstGeom prst="rect">
                      <a:avLst/>
                    </a:prstGeom>
                  </pic:spPr>
                </pic:pic>
              </a:graphicData>
            </a:graphic>
          </wp:inline>
        </w:drawing>
      </w: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35" name="图片 35" descr="DSC_1362"/>
            <wp:cNvGraphicFramePr/>
            <a:graphic xmlns:a="http://schemas.openxmlformats.org/drawingml/2006/main">
              <a:graphicData uri="http://schemas.openxmlformats.org/drawingml/2006/picture">
                <pic:pic xmlns:pic="http://schemas.openxmlformats.org/drawingml/2006/picture">
                  <pic:nvPicPr>
                    <pic:cNvPr id="35" name="图片 35" descr="DSC_1362"/>
                    <pic:cNvPicPr/>
                  </pic:nvPicPr>
                  <pic:blipFill>
                    <a:blip r:embed="rId27"/>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36" name="图片 36" descr="DSC_1367"/>
            <wp:cNvGraphicFramePr/>
            <a:graphic xmlns:a="http://schemas.openxmlformats.org/drawingml/2006/main">
              <a:graphicData uri="http://schemas.openxmlformats.org/drawingml/2006/picture">
                <pic:pic xmlns:pic="http://schemas.openxmlformats.org/drawingml/2006/picture">
                  <pic:nvPicPr>
                    <pic:cNvPr id="36" name="图片 36" descr="DSC_1367"/>
                    <pic:cNvPicPr/>
                  </pic:nvPicPr>
                  <pic:blipFill>
                    <a:blip r:embed="rId28"/>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37" name="图片 37" descr="DSC_1371"/>
            <wp:cNvGraphicFramePr/>
            <a:graphic xmlns:a="http://schemas.openxmlformats.org/drawingml/2006/main">
              <a:graphicData uri="http://schemas.openxmlformats.org/drawingml/2006/picture">
                <pic:pic xmlns:pic="http://schemas.openxmlformats.org/drawingml/2006/picture">
                  <pic:nvPicPr>
                    <pic:cNvPr id="37" name="图片 37" descr="DSC_1371"/>
                    <pic:cNvPicPr/>
                  </pic:nvPicPr>
                  <pic:blipFill>
                    <a:blip r:embed="rId29"/>
                    <a:stretch>
                      <a:fillRect/>
                    </a:stretch>
                  </pic:blipFill>
                  <pic:spPr>
                    <a:xfrm>
                      <a:off x="0" y="0"/>
                      <a:ext cx="1800225" cy="1080135"/>
                    </a:xfrm>
                    <a:prstGeom prst="rect">
                      <a:avLst/>
                    </a:prstGeom>
                  </pic:spPr>
                </pic:pic>
              </a:graphicData>
            </a:graphic>
          </wp:inline>
        </w:drawing>
      </w:r>
    </w:p>
    <w:p>
      <w:pPr>
        <w:ind w:right="560"/>
        <w:jc w:val="center"/>
        <w:rPr>
          <w:rFonts w:hint="eastAsia"/>
          <w:lang w:val="en-US" w:eastAsia="zh-CN"/>
        </w:rPr>
      </w:pPr>
      <w:r>
        <w:rPr>
          <w:rFonts w:hint="eastAsia" w:ascii="宋体"/>
          <w:b/>
          <w:sz w:val="15"/>
          <w:szCs w:val="15"/>
          <w:lang w:val="en-US" w:eastAsia="zh-CN"/>
        </w:rPr>
        <w:drawing>
          <wp:inline distT="0" distB="0" distL="114300" distR="114300">
            <wp:extent cx="1800225" cy="1080135"/>
            <wp:effectExtent l="0" t="0" r="9525" b="5715"/>
            <wp:docPr id="38" name="图片 38" descr="DSC_1376"/>
            <wp:cNvGraphicFramePr/>
            <a:graphic xmlns:a="http://schemas.openxmlformats.org/drawingml/2006/main">
              <a:graphicData uri="http://schemas.openxmlformats.org/drawingml/2006/picture">
                <pic:pic xmlns:pic="http://schemas.openxmlformats.org/drawingml/2006/picture">
                  <pic:nvPicPr>
                    <pic:cNvPr id="38" name="图片 38" descr="DSC_1376"/>
                    <pic:cNvPicPr/>
                  </pic:nvPicPr>
                  <pic:blipFill>
                    <a:blip r:embed="rId30"/>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39" name="图片 39" descr="DSC_1380"/>
            <wp:cNvGraphicFramePr/>
            <a:graphic xmlns:a="http://schemas.openxmlformats.org/drawingml/2006/main">
              <a:graphicData uri="http://schemas.openxmlformats.org/drawingml/2006/picture">
                <pic:pic xmlns:pic="http://schemas.openxmlformats.org/drawingml/2006/picture">
                  <pic:nvPicPr>
                    <pic:cNvPr id="39" name="图片 39" descr="DSC_1380"/>
                    <pic:cNvPicPr/>
                  </pic:nvPicPr>
                  <pic:blipFill>
                    <a:blip r:embed="rId31"/>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40" name="图片 40" descr="DSC_1386"/>
            <wp:cNvGraphicFramePr/>
            <a:graphic xmlns:a="http://schemas.openxmlformats.org/drawingml/2006/main">
              <a:graphicData uri="http://schemas.openxmlformats.org/drawingml/2006/picture">
                <pic:pic xmlns:pic="http://schemas.openxmlformats.org/drawingml/2006/picture">
                  <pic:nvPicPr>
                    <pic:cNvPr id="40" name="图片 40" descr="DSC_1386"/>
                    <pic:cNvPicPr/>
                  </pic:nvPicPr>
                  <pic:blipFill>
                    <a:blip r:embed="rId32"/>
                    <a:stretch>
                      <a:fillRect/>
                    </a:stretch>
                  </pic:blipFill>
                  <pic:spPr>
                    <a:xfrm>
                      <a:off x="0" y="0"/>
                      <a:ext cx="1800225" cy="1080135"/>
                    </a:xfrm>
                    <a:prstGeom prst="rect">
                      <a:avLst/>
                    </a:prstGeom>
                  </pic:spPr>
                </pic:pic>
              </a:graphicData>
            </a:graphic>
          </wp:inline>
        </w:drawing>
      </w:r>
    </w:p>
    <w:p>
      <w:pPr>
        <w:ind w:right="560"/>
        <w:jc w:val="center"/>
        <w:rPr>
          <w:rFonts w:hint="eastAsia" w:ascii="宋体"/>
          <w:b/>
          <w:sz w:val="40"/>
        </w:rPr>
      </w:pPr>
      <w:r>
        <w:rPr>
          <w:rFonts w:hint="eastAsia" w:ascii="宋体"/>
          <w:b/>
          <w:sz w:val="40"/>
        </w:rPr>
        <w:t>实  物  照  片</w:t>
      </w:r>
    </w:p>
    <w:p>
      <w:pPr>
        <w:ind w:right="560"/>
        <w:jc w:val="center"/>
        <w:rPr>
          <w:rFonts w:hint="eastAsia" w:ascii="宋体"/>
          <w:b/>
          <w:sz w:val="40"/>
        </w:rPr>
      </w:pPr>
      <w:r>
        <w:rPr>
          <w:rFonts w:hint="eastAsia" w:ascii="宋体"/>
          <w:b/>
          <w:sz w:val="40"/>
          <w:lang w:val="en-US" w:eastAsia="zh-CN"/>
        </w:rPr>
        <w:t>（杂 项 物 品 类）</w:t>
      </w:r>
    </w:p>
    <w:p>
      <w:pPr>
        <w:ind w:right="560"/>
        <w:jc w:val="center"/>
        <w:rPr>
          <w:rFonts w:hint="eastAsia" w:ascii="宋体"/>
          <w:b/>
          <w:sz w:val="15"/>
          <w:szCs w:val="15"/>
        </w:rPr>
      </w:pP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62" name="图片 62" descr="DSC_1388"/>
            <wp:cNvGraphicFramePr/>
            <a:graphic xmlns:a="http://schemas.openxmlformats.org/drawingml/2006/main">
              <a:graphicData uri="http://schemas.openxmlformats.org/drawingml/2006/picture">
                <pic:pic xmlns:pic="http://schemas.openxmlformats.org/drawingml/2006/picture">
                  <pic:nvPicPr>
                    <pic:cNvPr id="62" name="图片 62" descr="DSC_1388"/>
                    <pic:cNvPicPr/>
                  </pic:nvPicPr>
                  <pic:blipFill>
                    <a:blip r:embed="rId33"/>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63" name="图片 63" descr="DSC_1391"/>
            <wp:cNvGraphicFramePr/>
            <a:graphic xmlns:a="http://schemas.openxmlformats.org/drawingml/2006/main">
              <a:graphicData uri="http://schemas.openxmlformats.org/drawingml/2006/picture">
                <pic:pic xmlns:pic="http://schemas.openxmlformats.org/drawingml/2006/picture">
                  <pic:nvPicPr>
                    <pic:cNvPr id="63" name="图片 63" descr="DSC_1391"/>
                    <pic:cNvPicPr/>
                  </pic:nvPicPr>
                  <pic:blipFill>
                    <a:blip r:embed="rId34"/>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64" name="图片 64" descr="DSC_1393"/>
            <wp:cNvGraphicFramePr/>
            <a:graphic xmlns:a="http://schemas.openxmlformats.org/drawingml/2006/main">
              <a:graphicData uri="http://schemas.openxmlformats.org/drawingml/2006/picture">
                <pic:pic xmlns:pic="http://schemas.openxmlformats.org/drawingml/2006/picture">
                  <pic:nvPicPr>
                    <pic:cNvPr id="64" name="图片 64" descr="DSC_1393"/>
                    <pic:cNvPicPr/>
                  </pic:nvPicPr>
                  <pic:blipFill>
                    <a:blip r:embed="rId35"/>
                    <a:stretch>
                      <a:fillRect/>
                    </a:stretch>
                  </pic:blipFill>
                  <pic:spPr>
                    <a:xfrm>
                      <a:off x="0" y="0"/>
                      <a:ext cx="1800225" cy="1080135"/>
                    </a:xfrm>
                    <a:prstGeom prst="rect">
                      <a:avLst/>
                    </a:prstGeom>
                  </pic:spPr>
                </pic:pic>
              </a:graphicData>
            </a:graphic>
          </wp:inline>
        </w:drawing>
      </w:r>
    </w:p>
    <w:p>
      <w:pPr>
        <w:ind w:right="560"/>
        <w:jc w:val="center"/>
        <w:rPr>
          <w:rFonts w:hint="eastAsia"/>
          <w:lang w:val="en-US" w:eastAsia="zh-CN"/>
        </w:rPr>
      </w:pPr>
      <w:r>
        <w:rPr>
          <w:rFonts w:hint="eastAsia" w:ascii="宋体"/>
          <w:b/>
          <w:sz w:val="15"/>
          <w:szCs w:val="15"/>
          <w:lang w:val="en-US" w:eastAsia="zh-CN"/>
        </w:rPr>
        <w:drawing>
          <wp:inline distT="0" distB="0" distL="114300" distR="114300">
            <wp:extent cx="1800225" cy="1080135"/>
            <wp:effectExtent l="0" t="0" r="9525" b="5715"/>
            <wp:docPr id="65" name="图片 65" descr="DSC_1396"/>
            <wp:cNvGraphicFramePr/>
            <a:graphic xmlns:a="http://schemas.openxmlformats.org/drawingml/2006/main">
              <a:graphicData uri="http://schemas.openxmlformats.org/drawingml/2006/picture">
                <pic:pic xmlns:pic="http://schemas.openxmlformats.org/drawingml/2006/picture">
                  <pic:nvPicPr>
                    <pic:cNvPr id="65" name="图片 65" descr="DSC_1396"/>
                    <pic:cNvPicPr/>
                  </pic:nvPicPr>
                  <pic:blipFill>
                    <a:blip r:embed="rId36"/>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66" name="图片 66" descr="DSC_1398"/>
            <wp:cNvGraphicFramePr/>
            <a:graphic xmlns:a="http://schemas.openxmlformats.org/drawingml/2006/main">
              <a:graphicData uri="http://schemas.openxmlformats.org/drawingml/2006/picture">
                <pic:pic xmlns:pic="http://schemas.openxmlformats.org/drawingml/2006/picture">
                  <pic:nvPicPr>
                    <pic:cNvPr id="66" name="图片 66" descr="DSC_1398"/>
                    <pic:cNvPicPr/>
                  </pic:nvPicPr>
                  <pic:blipFill>
                    <a:blip r:embed="rId37"/>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67" name="图片 67" descr="DSC_1402"/>
            <wp:cNvGraphicFramePr/>
            <a:graphic xmlns:a="http://schemas.openxmlformats.org/drawingml/2006/main">
              <a:graphicData uri="http://schemas.openxmlformats.org/drawingml/2006/picture">
                <pic:pic xmlns:pic="http://schemas.openxmlformats.org/drawingml/2006/picture">
                  <pic:nvPicPr>
                    <pic:cNvPr id="67" name="图片 67" descr="DSC_1402"/>
                    <pic:cNvPicPr/>
                  </pic:nvPicPr>
                  <pic:blipFill>
                    <a:blip r:embed="rId38"/>
                    <a:stretch>
                      <a:fillRect/>
                    </a:stretch>
                  </pic:blipFill>
                  <pic:spPr>
                    <a:xfrm>
                      <a:off x="0" y="0"/>
                      <a:ext cx="1800225" cy="1080135"/>
                    </a:xfrm>
                    <a:prstGeom prst="rect">
                      <a:avLst/>
                    </a:prstGeom>
                  </pic:spPr>
                </pic:pic>
              </a:graphicData>
            </a:graphic>
          </wp:inline>
        </w:drawing>
      </w:r>
    </w:p>
    <w:p>
      <w:pPr>
        <w:ind w:right="560"/>
        <w:jc w:val="center"/>
        <w:rPr>
          <w:rFonts w:hint="eastAsia"/>
          <w:lang w:val="en-US" w:eastAsia="zh-CN"/>
        </w:rPr>
      </w:pPr>
      <w:r>
        <w:rPr>
          <w:rFonts w:hint="eastAsia" w:ascii="宋体"/>
          <w:b/>
          <w:sz w:val="15"/>
          <w:szCs w:val="15"/>
          <w:lang w:val="en-US" w:eastAsia="zh-CN"/>
        </w:rPr>
        <w:drawing>
          <wp:inline distT="0" distB="0" distL="114300" distR="114300">
            <wp:extent cx="1800225" cy="1080135"/>
            <wp:effectExtent l="0" t="0" r="9525" b="5715"/>
            <wp:docPr id="68" name="图片 68" descr="DSC_1405"/>
            <wp:cNvGraphicFramePr/>
            <a:graphic xmlns:a="http://schemas.openxmlformats.org/drawingml/2006/main">
              <a:graphicData uri="http://schemas.openxmlformats.org/drawingml/2006/picture">
                <pic:pic xmlns:pic="http://schemas.openxmlformats.org/drawingml/2006/picture">
                  <pic:nvPicPr>
                    <pic:cNvPr id="68" name="图片 68" descr="DSC_1405"/>
                    <pic:cNvPicPr/>
                  </pic:nvPicPr>
                  <pic:blipFill>
                    <a:blip r:embed="rId39"/>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69" name="图片 69" descr="DSC_1407"/>
            <wp:cNvGraphicFramePr/>
            <a:graphic xmlns:a="http://schemas.openxmlformats.org/drawingml/2006/main">
              <a:graphicData uri="http://schemas.openxmlformats.org/drawingml/2006/picture">
                <pic:pic xmlns:pic="http://schemas.openxmlformats.org/drawingml/2006/picture">
                  <pic:nvPicPr>
                    <pic:cNvPr id="69" name="图片 69" descr="DSC_1407"/>
                    <pic:cNvPicPr/>
                  </pic:nvPicPr>
                  <pic:blipFill>
                    <a:blip r:embed="rId40"/>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70" name="图片 70" descr="DSC_1415"/>
            <wp:cNvGraphicFramePr/>
            <a:graphic xmlns:a="http://schemas.openxmlformats.org/drawingml/2006/main">
              <a:graphicData uri="http://schemas.openxmlformats.org/drawingml/2006/picture">
                <pic:pic xmlns:pic="http://schemas.openxmlformats.org/drawingml/2006/picture">
                  <pic:nvPicPr>
                    <pic:cNvPr id="70" name="图片 70" descr="DSC_1415"/>
                    <pic:cNvPicPr/>
                  </pic:nvPicPr>
                  <pic:blipFill>
                    <a:blip r:embed="rId41"/>
                    <a:stretch>
                      <a:fillRect/>
                    </a:stretch>
                  </pic:blipFill>
                  <pic:spPr>
                    <a:xfrm>
                      <a:off x="0" y="0"/>
                      <a:ext cx="1800225" cy="1080135"/>
                    </a:xfrm>
                    <a:prstGeom prst="rect">
                      <a:avLst/>
                    </a:prstGeom>
                  </pic:spPr>
                </pic:pic>
              </a:graphicData>
            </a:graphic>
          </wp:inline>
        </w:drawing>
      </w:r>
    </w:p>
    <w:p>
      <w:pPr>
        <w:ind w:right="560"/>
        <w:jc w:val="center"/>
        <w:rPr>
          <w:rFonts w:hint="eastAsia" w:ascii="宋体" w:eastAsia="宋体"/>
          <w:b/>
          <w:sz w:val="15"/>
          <w:szCs w:val="15"/>
          <w:lang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ascii="宋体"/>
          <w:b/>
          <w:sz w:val="40"/>
          <w:lang w:val="en-US" w:eastAsia="zh-CN"/>
        </w:rPr>
      </w:pPr>
      <w:r>
        <w:rPr>
          <w:rFonts w:hint="eastAsia" w:ascii="宋体"/>
          <w:b/>
          <w:sz w:val="40"/>
        </w:rPr>
        <w:t>实  物  照  片</w:t>
      </w:r>
      <w:r>
        <w:rPr>
          <w:rFonts w:hint="eastAsia" w:ascii="宋体"/>
          <w:b/>
          <w:sz w:val="40"/>
          <w:lang w:val="en-US" w:eastAsia="zh-CN"/>
        </w:rPr>
        <w:t xml:space="preserve"> </w:t>
      </w:r>
    </w:p>
    <w:p>
      <w:pPr>
        <w:ind w:right="560"/>
        <w:jc w:val="center"/>
        <w:rPr>
          <w:rFonts w:hint="eastAsia" w:ascii="宋体" w:eastAsia="宋体"/>
          <w:b/>
          <w:sz w:val="40"/>
          <w:lang w:val="en-US" w:eastAsia="zh-CN"/>
        </w:rPr>
      </w:pPr>
      <w:r>
        <w:rPr>
          <w:rFonts w:hint="eastAsia" w:ascii="宋体"/>
          <w:b/>
          <w:sz w:val="40"/>
          <w:lang w:val="en-US" w:eastAsia="zh-CN"/>
        </w:rPr>
        <w:t>（家 具 电 器 类）</w:t>
      </w:r>
    </w:p>
    <w:p>
      <w:pPr>
        <w:ind w:right="560"/>
        <w:jc w:val="center"/>
        <w:rPr>
          <w:rFonts w:hint="eastAsia" w:ascii="宋体"/>
          <w:b/>
          <w:sz w:val="15"/>
          <w:szCs w:val="15"/>
        </w:rPr>
      </w:pP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92" name="图片 92" descr="DSC_1294"/>
            <wp:cNvGraphicFramePr/>
            <a:graphic xmlns:a="http://schemas.openxmlformats.org/drawingml/2006/main">
              <a:graphicData uri="http://schemas.openxmlformats.org/drawingml/2006/picture">
                <pic:pic xmlns:pic="http://schemas.openxmlformats.org/drawingml/2006/picture">
                  <pic:nvPicPr>
                    <pic:cNvPr id="92" name="图片 92" descr="DSC_1294"/>
                    <pic:cNvPicPr/>
                  </pic:nvPicPr>
                  <pic:blipFill>
                    <a:blip r:embed="rId42"/>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93" name="图片 93" descr="DSC_1299"/>
            <wp:cNvGraphicFramePr/>
            <a:graphic xmlns:a="http://schemas.openxmlformats.org/drawingml/2006/main">
              <a:graphicData uri="http://schemas.openxmlformats.org/drawingml/2006/picture">
                <pic:pic xmlns:pic="http://schemas.openxmlformats.org/drawingml/2006/picture">
                  <pic:nvPicPr>
                    <pic:cNvPr id="93" name="图片 93" descr="DSC_1299"/>
                    <pic:cNvPicPr/>
                  </pic:nvPicPr>
                  <pic:blipFill>
                    <a:blip r:embed="rId43"/>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94" name="图片 94" descr="DSC_1304"/>
            <wp:cNvGraphicFramePr/>
            <a:graphic xmlns:a="http://schemas.openxmlformats.org/drawingml/2006/main">
              <a:graphicData uri="http://schemas.openxmlformats.org/drawingml/2006/picture">
                <pic:pic xmlns:pic="http://schemas.openxmlformats.org/drawingml/2006/picture">
                  <pic:nvPicPr>
                    <pic:cNvPr id="94" name="图片 94" descr="DSC_1304"/>
                    <pic:cNvPicPr/>
                  </pic:nvPicPr>
                  <pic:blipFill>
                    <a:blip r:embed="rId44"/>
                    <a:stretch>
                      <a:fillRect/>
                    </a:stretch>
                  </pic:blipFill>
                  <pic:spPr>
                    <a:xfrm>
                      <a:off x="0" y="0"/>
                      <a:ext cx="1800225" cy="1080135"/>
                    </a:xfrm>
                    <a:prstGeom prst="rect">
                      <a:avLst/>
                    </a:prstGeom>
                  </pic:spPr>
                </pic:pic>
              </a:graphicData>
            </a:graphic>
          </wp:inline>
        </w:drawing>
      </w:r>
    </w:p>
    <w:p>
      <w:pPr>
        <w:ind w:right="560"/>
        <w:jc w:val="center"/>
        <w:rPr>
          <w:rFonts w:hint="eastAsia"/>
          <w:lang w:val="en-US" w:eastAsia="zh-CN"/>
        </w:rPr>
      </w:pPr>
      <w:r>
        <w:rPr>
          <w:rFonts w:hint="eastAsia" w:ascii="宋体"/>
          <w:b/>
          <w:sz w:val="15"/>
          <w:szCs w:val="15"/>
          <w:lang w:val="en-US" w:eastAsia="zh-CN"/>
        </w:rPr>
        <w:drawing>
          <wp:inline distT="0" distB="0" distL="114300" distR="114300">
            <wp:extent cx="1800225" cy="1080135"/>
            <wp:effectExtent l="0" t="0" r="9525" b="5715"/>
            <wp:docPr id="95" name="图片 95" descr="DSC_1306"/>
            <wp:cNvGraphicFramePr/>
            <a:graphic xmlns:a="http://schemas.openxmlformats.org/drawingml/2006/main">
              <a:graphicData uri="http://schemas.openxmlformats.org/drawingml/2006/picture">
                <pic:pic xmlns:pic="http://schemas.openxmlformats.org/drawingml/2006/picture">
                  <pic:nvPicPr>
                    <pic:cNvPr id="95" name="图片 95" descr="DSC_1306"/>
                    <pic:cNvPicPr/>
                  </pic:nvPicPr>
                  <pic:blipFill>
                    <a:blip r:embed="rId45"/>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96" name="图片 96" descr="DSC_1312"/>
            <wp:cNvGraphicFramePr/>
            <a:graphic xmlns:a="http://schemas.openxmlformats.org/drawingml/2006/main">
              <a:graphicData uri="http://schemas.openxmlformats.org/drawingml/2006/picture">
                <pic:pic xmlns:pic="http://schemas.openxmlformats.org/drawingml/2006/picture">
                  <pic:nvPicPr>
                    <pic:cNvPr id="96" name="图片 96" descr="DSC_1312"/>
                    <pic:cNvPicPr/>
                  </pic:nvPicPr>
                  <pic:blipFill>
                    <a:blip r:embed="rId46"/>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97" name="图片 97" descr="DSC_1319"/>
            <wp:cNvGraphicFramePr/>
            <a:graphic xmlns:a="http://schemas.openxmlformats.org/drawingml/2006/main">
              <a:graphicData uri="http://schemas.openxmlformats.org/drawingml/2006/picture">
                <pic:pic xmlns:pic="http://schemas.openxmlformats.org/drawingml/2006/picture">
                  <pic:nvPicPr>
                    <pic:cNvPr id="97" name="图片 97" descr="DSC_1319"/>
                    <pic:cNvPicPr/>
                  </pic:nvPicPr>
                  <pic:blipFill>
                    <a:blip r:embed="rId47"/>
                    <a:stretch>
                      <a:fillRect/>
                    </a:stretch>
                  </pic:blipFill>
                  <pic:spPr>
                    <a:xfrm>
                      <a:off x="0" y="0"/>
                      <a:ext cx="1800225" cy="1080135"/>
                    </a:xfrm>
                    <a:prstGeom prst="rect">
                      <a:avLst/>
                    </a:prstGeom>
                  </pic:spPr>
                </pic:pic>
              </a:graphicData>
            </a:graphic>
          </wp:inline>
        </w:drawing>
      </w:r>
    </w:p>
    <w:p>
      <w:pPr>
        <w:ind w:right="560"/>
        <w:jc w:val="center"/>
        <w:rPr>
          <w:rFonts w:hint="eastAsia"/>
          <w:lang w:val="en-US" w:eastAsia="zh-CN"/>
        </w:rPr>
      </w:pPr>
      <w:r>
        <w:rPr>
          <w:rFonts w:hint="eastAsia" w:ascii="宋体"/>
          <w:b/>
          <w:sz w:val="15"/>
          <w:szCs w:val="15"/>
          <w:lang w:val="en-US" w:eastAsia="zh-CN"/>
        </w:rPr>
        <w:drawing>
          <wp:inline distT="0" distB="0" distL="114300" distR="114300">
            <wp:extent cx="1800225" cy="1080135"/>
            <wp:effectExtent l="0" t="0" r="9525" b="5715"/>
            <wp:docPr id="98" name="图片 98" descr="DSC_1327"/>
            <wp:cNvGraphicFramePr/>
            <a:graphic xmlns:a="http://schemas.openxmlformats.org/drawingml/2006/main">
              <a:graphicData uri="http://schemas.openxmlformats.org/drawingml/2006/picture">
                <pic:pic xmlns:pic="http://schemas.openxmlformats.org/drawingml/2006/picture">
                  <pic:nvPicPr>
                    <pic:cNvPr id="98" name="图片 98" descr="DSC_1327"/>
                    <pic:cNvPicPr/>
                  </pic:nvPicPr>
                  <pic:blipFill>
                    <a:blip r:embed="rId48"/>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99" name="图片 99" descr="DSC_1331"/>
            <wp:cNvGraphicFramePr/>
            <a:graphic xmlns:a="http://schemas.openxmlformats.org/drawingml/2006/main">
              <a:graphicData uri="http://schemas.openxmlformats.org/drawingml/2006/picture">
                <pic:pic xmlns:pic="http://schemas.openxmlformats.org/drawingml/2006/picture">
                  <pic:nvPicPr>
                    <pic:cNvPr id="99" name="图片 99" descr="DSC_1331"/>
                    <pic:cNvPicPr/>
                  </pic:nvPicPr>
                  <pic:blipFill>
                    <a:blip r:embed="rId49"/>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100" name="图片 100" descr="DSC_1342"/>
            <wp:cNvGraphicFramePr/>
            <a:graphic xmlns:a="http://schemas.openxmlformats.org/drawingml/2006/main">
              <a:graphicData uri="http://schemas.openxmlformats.org/drawingml/2006/picture">
                <pic:pic xmlns:pic="http://schemas.openxmlformats.org/drawingml/2006/picture">
                  <pic:nvPicPr>
                    <pic:cNvPr id="100" name="图片 100" descr="DSC_1342"/>
                    <pic:cNvPicPr/>
                  </pic:nvPicPr>
                  <pic:blipFill>
                    <a:blip r:embed="rId50"/>
                    <a:stretch>
                      <a:fillRect/>
                    </a:stretch>
                  </pic:blipFill>
                  <pic:spPr>
                    <a:xfrm>
                      <a:off x="0" y="0"/>
                      <a:ext cx="1800225" cy="1080135"/>
                    </a:xfrm>
                    <a:prstGeom prst="rect">
                      <a:avLst/>
                    </a:prstGeom>
                  </pic:spPr>
                </pic:pic>
              </a:graphicData>
            </a:graphic>
          </wp:inline>
        </w:drawing>
      </w: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101" name="图片 101" descr="DSC_1349"/>
            <wp:cNvGraphicFramePr/>
            <a:graphic xmlns:a="http://schemas.openxmlformats.org/drawingml/2006/main">
              <a:graphicData uri="http://schemas.openxmlformats.org/drawingml/2006/picture">
                <pic:pic xmlns:pic="http://schemas.openxmlformats.org/drawingml/2006/picture">
                  <pic:nvPicPr>
                    <pic:cNvPr id="101" name="图片 101" descr="DSC_1349"/>
                    <pic:cNvPicPr/>
                  </pic:nvPicPr>
                  <pic:blipFill>
                    <a:blip r:embed="rId51"/>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02" name="图片 102" descr="DSC_1355"/>
            <wp:cNvGraphicFramePr/>
            <a:graphic xmlns:a="http://schemas.openxmlformats.org/drawingml/2006/main">
              <a:graphicData uri="http://schemas.openxmlformats.org/drawingml/2006/picture">
                <pic:pic xmlns:pic="http://schemas.openxmlformats.org/drawingml/2006/picture">
                  <pic:nvPicPr>
                    <pic:cNvPr id="102" name="图片 102" descr="DSC_1355"/>
                    <pic:cNvPicPr/>
                  </pic:nvPicPr>
                  <pic:blipFill>
                    <a:blip r:embed="rId52"/>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103" name="图片 103" descr="1389b2a743d1034ffc87f7729fa251e"/>
            <wp:cNvGraphicFramePr/>
            <a:graphic xmlns:a="http://schemas.openxmlformats.org/drawingml/2006/main">
              <a:graphicData uri="http://schemas.openxmlformats.org/drawingml/2006/picture">
                <pic:pic xmlns:pic="http://schemas.openxmlformats.org/drawingml/2006/picture">
                  <pic:nvPicPr>
                    <pic:cNvPr id="103" name="图片 103" descr="1389b2a743d1034ffc87f7729fa251e"/>
                    <pic:cNvPicPr/>
                  </pic:nvPicPr>
                  <pic:blipFill>
                    <a:blip r:embed="rId53"/>
                    <a:stretch>
                      <a:fillRect/>
                    </a:stretch>
                  </pic:blipFill>
                  <pic:spPr>
                    <a:xfrm>
                      <a:off x="0" y="0"/>
                      <a:ext cx="1800225" cy="1080135"/>
                    </a:xfrm>
                    <a:prstGeom prst="rect">
                      <a:avLst/>
                    </a:prstGeom>
                  </pic:spPr>
                </pic:pic>
              </a:graphicData>
            </a:graphic>
          </wp:inline>
        </w:drawing>
      </w: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104" name="图片 104" descr="6261775aa5a3a0221c20dea10ddfb8c"/>
            <wp:cNvGraphicFramePr/>
            <a:graphic xmlns:a="http://schemas.openxmlformats.org/drawingml/2006/main">
              <a:graphicData uri="http://schemas.openxmlformats.org/drawingml/2006/picture">
                <pic:pic xmlns:pic="http://schemas.openxmlformats.org/drawingml/2006/picture">
                  <pic:nvPicPr>
                    <pic:cNvPr id="104" name="图片 104" descr="6261775aa5a3a0221c20dea10ddfb8c"/>
                    <pic:cNvPicPr/>
                  </pic:nvPicPr>
                  <pic:blipFill>
                    <a:blip r:embed="rId54"/>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05" name="图片 105" descr="385282a8f1ef8f3f1508faee6945cd2"/>
            <wp:cNvGraphicFramePr/>
            <a:graphic xmlns:a="http://schemas.openxmlformats.org/drawingml/2006/main">
              <a:graphicData uri="http://schemas.openxmlformats.org/drawingml/2006/picture">
                <pic:pic xmlns:pic="http://schemas.openxmlformats.org/drawingml/2006/picture">
                  <pic:nvPicPr>
                    <pic:cNvPr id="105" name="图片 105" descr="385282a8f1ef8f3f1508faee6945cd2"/>
                    <pic:cNvPicPr/>
                  </pic:nvPicPr>
                  <pic:blipFill>
                    <a:blip r:embed="rId55"/>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p>
    <w:p>
      <w:pPr>
        <w:ind w:right="560"/>
        <w:jc w:val="center"/>
        <w:rPr>
          <w:rFonts w:hint="eastAsia" w:ascii="宋体" w:eastAsia="宋体"/>
          <w:b/>
          <w:sz w:val="15"/>
          <w:szCs w:val="15"/>
          <w:lang w:eastAsia="zh-CN"/>
        </w:rPr>
      </w:pPr>
      <w:r>
        <w:rPr>
          <w:rFonts w:hint="eastAsia" w:ascii="宋体"/>
          <w:b/>
          <w:sz w:val="15"/>
          <w:szCs w:val="15"/>
          <w:lang w:val="en-US" w:eastAsia="zh-CN"/>
        </w:rPr>
        <w:t xml:space="preserve">    </w:t>
      </w: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ascii="宋体"/>
          <w:b/>
          <w:sz w:val="40"/>
          <w:lang w:val="en-US" w:eastAsia="zh-CN"/>
        </w:rPr>
      </w:pPr>
      <w:r>
        <w:rPr>
          <w:rFonts w:hint="eastAsia" w:ascii="宋体"/>
          <w:b/>
          <w:sz w:val="40"/>
        </w:rPr>
        <w:t>实  物  照  片</w:t>
      </w:r>
      <w:r>
        <w:rPr>
          <w:rFonts w:hint="eastAsia" w:ascii="宋体"/>
          <w:b/>
          <w:sz w:val="40"/>
          <w:lang w:val="en-US" w:eastAsia="zh-CN"/>
        </w:rPr>
        <w:t xml:space="preserve"> </w:t>
      </w:r>
    </w:p>
    <w:p>
      <w:pPr>
        <w:ind w:right="560"/>
        <w:jc w:val="center"/>
        <w:rPr>
          <w:rFonts w:hint="eastAsia" w:ascii="宋体" w:eastAsia="宋体"/>
          <w:b/>
          <w:sz w:val="40"/>
          <w:lang w:val="en-US" w:eastAsia="zh-CN"/>
        </w:rPr>
      </w:pPr>
      <w:r>
        <w:rPr>
          <w:rFonts w:hint="eastAsia" w:ascii="宋体"/>
          <w:b/>
          <w:sz w:val="40"/>
          <w:lang w:val="en-US" w:eastAsia="zh-CN"/>
        </w:rPr>
        <w:t>（车 位 类）</w:t>
      </w:r>
    </w:p>
    <w:p>
      <w:pPr>
        <w:ind w:right="560"/>
        <w:jc w:val="center"/>
        <w:rPr>
          <w:rFonts w:hint="eastAsia" w:ascii="宋体"/>
          <w:b/>
          <w:sz w:val="15"/>
          <w:szCs w:val="15"/>
        </w:rPr>
      </w:pP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148" name="图片 148" descr="DSC_1269"/>
            <wp:cNvGraphicFramePr/>
            <a:graphic xmlns:a="http://schemas.openxmlformats.org/drawingml/2006/main">
              <a:graphicData uri="http://schemas.openxmlformats.org/drawingml/2006/picture">
                <pic:pic xmlns:pic="http://schemas.openxmlformats.org/drawingml/2006/picture">
                  <pic:nvPicPr>
                    <pic:cNvPr id="148" name="图片 148" descr="DSC_1269"/>
                    <pic:cNvPicPr/>
                  </pic:nvPicPr>
                  <pic:blipFill>
                    <a:blip r:embed="rId56"/>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49" name="图片 149" descr="DSC_1272"/>
            <wp:cNvGraphicFramePr/>
            <a:graphic xmlns:a="http://schemas.openxmlformats.org/drawingml/2006/main">
              <a:graphicData uri="http://schemas.openxmlformats.org/drawingml/2006/picture">
                <pic:pic xmlns:pic="http://schemas.openxmlformats.org/drawingml/2006/picture">
                  <pic:nvPicPr>
                    <pic:cNvPr id="149" name="图片 149" descr="DSC_1272"/>
                    <pic:cNvPicPr/>
                  </pic:nvPicPr>
                  <pic:blipFill>
                    <a:blip r:embed="rId57"/>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p>
    <w:p>
      <w:pPr>
        <w:ind w:right="560"/>
        <w:jc w:val="center"/>
        <w:rPr>
          <w:rFonts w:hint="eastAsia"/>
          <w:lang w:val="en-US" w:eastAsia="zh-CN"/>
        </w:rPr>
      </w:pPr>
      <w:r>
        <w:rPr>
          <w:rFonts w:hint="eastAsia" w:ascii="宋体"/>
          <w:b/>
          <w:sz w:val="15"/>
          <w:szCs w:val="15"/>
          <w:lang w:val="en-US" w:eastAsia="zh-CN"/>
        </w:rPr>
        <w:drawing>
          <wp:inline distT="0" distB="0" distL="114300" distR="114300">
            <wp:extent cx="1800225" cy="1080135"/>
            <wp:effectExtent l="0" t="0" r="9525" b="5715"/>
            <wp:docPr id="150" name="图片 150" descr="DSC_1273"/>
            <wp:cNvGraphicFramePr/>
            <a:graphic xmlns:a="http://schemas.openxmlformats.org/drawingml/2006/main">
              <a:graphicData uri="http://schemas.openxmlformats.org/drawingml/2006/picture">
                <pic:pic xmlns:pic="http://schemas.openxmlformats.org/drawingml/2006/picture">
                  <pic:nvPicPr>
                    <pic:cNvPr id="150" name="图片 150" descr="DSC_1273"/>
                    <pic:cNvPicPr/>
                  </pic:nvPicPr>
                  <pic:blipFill>
                    <a:blip r:embed="rId58"/>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51" name="图片 151" descr="DSC_1281"/>
            <wp:cNvGraphicFramePr/>
            <a:graphic xmlns:a="http://schemas.openxmlformats.org/drawingml/2006/main">
              <a:graphicData uri="http://schemas.openxmlformats.org/drawingml/2006/picture">
                <pic:pic xmlns:pic="http://schemas.openxmlformats.org/drawingml/2006/picture">
                  <pic:nvPicPr>
                    <pic:cNvPr id="151" name="图片 151" descr="DSC_1281"/>
                    <pic:cNvPicPr/>
                  </pic:nvPicPr>
                  <pic:blipFill>
                    <a:blip r:embed="rId59"/>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p>
    <w:p>
      <w:pPr>
        <w:ind w:right="560"/>
        <w:jc w:val="center"/>
        <w:rPr>
          <w:rFonts w:hint="eastAsia"/>
          <w:lang w:val="en-US" w:eastAsia="zh-CN"/>
        </w:rPr>
      </w:pPr>
      <w:r>
        <w:rPr>
          <w:rFonts w:hint="eastAsia" w:ascii="宋体"/>
          <w:b/>
          <w:sz w:val="15"/>
          <w:szCs w:val="15"/>
          <w:lang w:val="en-US" w:eastAsia="zh-CN"/>
        </w:rPr>
        <w:drawing>
          <wp:inline distT="0" distB="0" distL="114300" distR="114300">
            <wp:extent cx="1800225" cy="1080135"/>
            <wp:effectExtent l="0" t="0" r="9525" b="5715"/>
            <wp:docPr id="152" name="图片 152" descr="DSC_1275"/>
            <wp:cNvGraphicFramePr/>
            <a:graphic xmlns:a="http://schemas.openxmlformats.org/drawingml/2006/main">
              <a:graphicData uri="http://schemas.openxmlformats.org/drawingml/2006/picture">
                <pic:pic xmlns:pic="http://schemas.openxmlformats.org/drawingml/2006/picture">
                  <pic:nvPicPr>
                    <pic:cNvPr id="152" name="图片 152" descr="DSC_1275"/>
                    <pic:cNvPicPr/>
                  </pic:nvPicPr>
                  <pic:blipFill>
                    <a:blip r:embed="rId60"/>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53" name="图片 153" descr="DSC_1279"/>
            <wp:cNvGraphicFramePr/>
            <a:graphic xmlns:a="http://schemas.openxmlformats.org/drawingml/2006/main">
              <a:graphicData uri="http://schemas.openxmlformats.org/drawingml/2006/picture">
                <pic:pic xmlns:pic="http://schemas.openxmlformats.org/drawingml/2006/picture">
                  <pic:nvPicPr>
                    <pic:cNvPr id="153" name="图片 153" descr="DSC_1279"/>
                    <pic:cNvPicPr/>
                  </pic:nvPicPr>
                  <pic:blipFill>
                    <a:blip r:embed="rId61"/>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lang w:val="en-US" w:eastAsia="zh-CN"/>
        </w:rPr>
      </w:pPr>
    </w:p>
    <w:p>
      <w:pPr>
        <w:ind w:right="560"/>
        <w:jc w:val="center"/>
        <w:rPr>
          <w:rFonts w:hint="eastAsia" w:ascii="宋体"/>
          <w:b/>
          <w:sz w:val="40"/>
          <w:lang w:val="en-US" w:eastAsia="zh-CN"/>
        </w:rPr>
      </w:pPr>
      <w:bookmarkStart w:id="0" w:name="_GoBack"/>
      <w:r>
        <w:rPr>
          <w:rFonts w:hint="eastAsia" w:ascii="宋体"/>
          <w:b/>
          <w:sz w:val="40"/>
        </w:rPr>
        <w:t>实  物  照  片</w:t>
      </w:r>
      <w:r>
        <w:rPr>
          <w:rFonts w:hint="eastAsia" w:ascii="宋体"/>
          <w:b/>
          <w:sz w:val="40"/>
          <w:lang w:val="en-US" w:eastAsia="zh-CN"/>
        </w:rPr>
        <w:t xml:space="preserve"> </w:t>
      </w:r>
    </w:p>
    <w:p>
      <w:pPr>
        <w:ind w:right="560"/>
        <w:jc w:val="center"/>
        <w:rPr>
          <w:rFonts w:hint="eastAsia" w:ascii="宋体" w:eastAsia="宋体"/>
          <w:b/>
          <w:sz w:val="40"/>
          <w:lang w:val="en-US" w:eastAsia="zh-CN"/>
        </w:rPr>
      </w:pPr>
      <w:r>
        <w:rPr>
          <w:rFonts w:hint="eastAsia" w:ascii="宋体"/>
          <w:b/>
          <w:sz w:val="40"/>
          <w:lang w:val="en-US" w:eastAsia="zh-CN"/>
        </w:rPr>
        <w:t>（贵 金 属 首 饰 类）</w:t>
      </w:r>
    </w:p>
    <w:p>
      <w:pPr>
        <w:ind w:right="560"/>
        <w:jc w:val="center"/>
        <w:rPr>
          <w:rFonts w:hint="eastAsia" w:ascii="宋体"/>
          <w:b/>
          <w:sz w:val="15"/>
          <w:szCs w:val="15"/>
        </w:rPr>
      </w:pP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154" name="图片 154" descr="DSC_1363"/>
            <wp:cNvGraphicFramePr/>
            <a:graphic xmlns:a="http://schemas.openxmlformats.org/drawingml/2006/main">
              <a:graphicData uri="http://schemas.openxmlformats.org/drawingml/2006/picture">
                <pic:pic xmlns:pic="http://schemas.openxmlformats.org/drawingml/2006/picture">
                  <pic:nvPicPr>
                    <pic:cNvPr id="154" name="图片 154" descr="DSC_1363"/>
                    <pic:cNvPicPr/>
                  </pic:nvPicPr>
                  <pic:blipFill>
                    <a:blip r:embed="rId62"/>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57" name="图片 157" descr="DSC_1364_副本"/>
            <wp:cNvGraphicFramePr/>
            <a:graphic xmlns:a="http://schemas.openxmlformats.org/drawingml/2006/main">
              <a:graphicData uri="http://schemas.openxmlformats.org/drawingml/2006/picture">
                <pic:pic xmlns:pic="http://schemas.openxmlformats.org/drawingml/2006/picture">
                  <pic:nvPicPr>
                    <pic:cNvPr id="157" name="图片 157" descr="DSC_1364_副本"/>
                    <pic:cNvPicPr/>
                  </pic:nvPicPr>
                  <pic:blipFill>
                    <a:blip r:embed="rId63"/>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56" name="图片 156" descr="DSC_1369_副本"/>
            <wp:cNvGraphicFramePr/>
            <a:graphic xmlns:a="http://schemas.openxmlformats.org/drawingml/2006/main">
              <a:graphicData uri="http://schemas.openxmlformats.org/drawingml/2006/picture">
                <pic:pic xmlns:pic="http://schemas.openxmlformats.org/drawingml/2006/picture">
                  <pic:nvPicPr>
                    <pic:cNvPr id="156" name="图片 156" descr="DSC_1369_副本"/>
                    <pic:cNvPicPr/>
                  </pic:nvPicPr>
                  <pic:blipFill>
                    <a:blip r:embed="rId64"/>
                    <a:stretch>
                      <a:fillRect/>
                    </a:stretch>
                  </pic:blipFill>
                  <pic:spPr>
                    <a:xfrm>
                      <a:off x="0" y="0"/>
                      <a:ext cx="1800225" cy="1080135"/>
                    </a:xfrm>
                    <a:prstGeom prst="rect">
                      <a:avLst/>
                    </a:prstGeom>
                  </pic:spPr>
                </pic:pic>
              </a:graphicData>
            </a:graphic>
          </wp:inline>
        </w:drawing>
      </w:r>
    </w:p>
    <w:p>
      <w:pPr>
        <w:ind w:right="560"/>
        <w:jc w:val="center"/>
        <w:rPr>
          <w:rFonts w:hint="eastAsia"/>
          <w:lang w:val="en-US" w:eastAsia="zh-CN"/>
        </w:rPr>
      </w:pPr>
      <w:r>
        <w:rPr>
          <w:rFonts w:hint="eastAsia" w:ascii="宋体"/>
          <w:b/>
          <w:sz w:val="15"/>
          <w:szCs w:val="15"/>
          <w:lang w:val="en-US" w:eastAsia="zh-CN"/>
        </w:rPr>
        <w:drawing>
          <wp:inline distT="0" distB="0" distL="114300" distR="114300">
            <wp:extent cx="1800225" cy="1080135"/>
            <wp:effectExtent l="0" t="0" r="9525" b="5715"/>
            <wp:docPr id="158" name="图片 158" descr="DSC_1370_副本"/>
            <wp:cNvGraphicFramePr/>
            <a:graphic xmlns:a="http://schemas.openxmlformats.org/drawingml/2006/main">
              <a:graphicData uri="http://schemas.openxmlformats.org/drawingml/2006/picture">
                <pic:pic xmlns:pic="http://schemas.openxmlformats.org/drawingml/2006/picture">
                  <pic:nvPicPr>
                    <pic:cNvPr id="158" name="图片 158" descr="DSC_1370_副本"/>
                    <pic:cNvPicPr/>
                  </pic:nvPicPr>
                  <pic:blipFill>
                    <a:blip r:embed="rId65"/>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59" name="图片 159" descr="DSC_1375_副本"/>
            <wp:cNvGraphicFramePr/>
            <a:graphic xmlns:a="http://schemas.openxmlformats.org/drawingml/2006/main">
              <a:graphicData uri="http://schemas.openxmlformats.org/drawingml/2006/picture">
                <pic:pic xmlns:pic="http://schemas.openxmlformats.org/drawingml/2006/picture">
                  <pic:nvPicPr>
                    <pic:cNvPr id="159" name="图片 159" descr="DSC_1375_副本"/>
                    <pic:cNvPicPr/>
                  </pic:nvPicPr>
                  <pic:blipFill>
                    <a:blip r:embed="rId66"/>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160" name="图片 160" descr="DSC_1374_副本"/>
            <wp:cNvGraphicFramePr/>
            <a:graphic xmlns:a="http://schemas.openxmlformats.org/drawingml/2006/main">
              <a:graphicData uri="http://schemas.openxmlformats.org/drawingml/2006/picture">
                <pic:pic xmlns:pic="http://schemas.openxmlformats.org/drawingml/2006/picture">
                  <pic:nvPicPr>
                    <pic:cNvPr id="160" name="图片 160" descr="DSC_1374_副本"/>
                    <pic:cNvPicPr/>
                  </pic:nvPicPr>
                  <pic:blipFill>
                    <a:blip r:embed="rId67"/>
                    <a:stretch>
                      <a:fillRect/>
                    </a:stretch>
                  </pic:blipFill>
                  <pic:spPr>
                    <a:xfrm>
                      <a:off x="0" y="0"/>
                      <a:ext cx="1800225" cy="1080135"/>
                    </a:xfrm>
                    <a:prstGeom prst="rect">
                      <a:avLst/>
                    </a:prstGeom>
                  </pic:spPr>
                </pic:pic>
              </a:graphicData>
            </a:graphic>
          </wp:inline>
        </w:drawing>
      </w:r>
    </w:p>
    <w:p>
      <w:pPr>
        <w:ind w:right="560"/>
        <w:jc w:val="center"/>
        <w:rPr>
          <w:rFonts w:hint="eastAsia"/>
          <w:lang w:val="en-US" w:eastAsia="zh-CN"/>
        </w:rPr>
      </w:pPr>
      <w:r>
        <w:rPr>
          <w:rFonts w:hint="eastAsia" w:ascii="宋体"/>
          <w:b/>
          <w:sz w:val="15"/>
          <w:szCs w:val="15"/>
          <w:lang w:val="en-US" w:eastAsia="zh-CN"/>
        </w:rPr>
        <w:drawing>
          <wp:inline distT="0" distB="0" distL="114300" distR="114300">
            <wp:extent cx="1800225" cy="1080135"/>
            <wp:effectExtent l="0" t="0" r="9525" b="5715"/>
            <wp:docPr id="162" name="图片 162" descr="DSC_1383_副本"/>
            <wp:cNvGraphicFramePr/>
            <a:graphic xmlns:a="http://schemas.openxmlformats.org/drawingml/2006/main">
              <a:graphicData uri="http://schemas.openxmlformats.org/drawingml/2006/picture">
                <pic:pic xmlns:pic="http://schemas.openxmlformats.org/drawingml/2006/picture">
                  <pic:nvPicPr>
                    <pic:cNvPr id="162" name="图片 162" descr="DSC_1383_副本"/>
                    <pic:cNvPicPr/>
                  </pic:nvPicPr>
                  <pic:blipFill>
                    <a:blip r:embed="rId68"/>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63" name="图片 163" descr="DSC_1382_副本"/>
            <wp:cNvGraphicFramePr/>
            <a:graphic xmlns:a="http://schemas.openxmlformats.org/drawingml/2006/main">
              <a:graphicData uri="http://schemas.openxmlformats.org/drawingml/2006/picture">
                <pic:pic xmlns:pic="http://schemas.openxmlformats.org/drawingml/2006/picture">
                  <pic:nvPicPr>
                    <pic:cNvPr id="163" name="图片 163" descr="DSC_1382_副本"/>
                    <pic:cNvPicPr/>
                  </pic:nvPicPr>
                  <pic:blipFill>
                    <a:blip r:embed="rId69"/>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164" name="图片 164" descr="DSC_1387"/>
            <wp:cNvGraphicFramePr/>
            <a:graphic xmlns:a="http://schemas.openxmlformats.org/drawingml/2006/main">
              <a:graphicData uri="http://schemas.openxmlformats.org/drawingml/2006/picture">
                <pic:pic xmlns:pic="http://schemas.openxmlformats.org/drawingml/2006/picture">
                  <pic:nvPicPr>
                    <pic:cNvPr id="164" name="图片 164" descr="DSC_1387"/>
                    <pic:cNvPicPr/>
                  </pic:nvPicPr>
                  <pic:blipFill>
                    <a:blip r:embed="rId70"/>
                    <a:stretch>
                      <a:fillRect/>
                    </a:stretch>
                  </pic:blipFill>
                  <pic:spPr>
                    <a:xfrm>
                      <a:off x="0" y="0"/>
                      <a:ext cx="1800225" cy="1080135"/>
                    </a:xfrm>
                    <a:prstGeom prst="rect">
                      <a:avLst/>
                    </a:prstGeom>
                  </pic:spPr>
                </pic:pic>
              </a:graphicData>
            </a:graphic>
          </wp:inline>
        </w:drawing>
      </w: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165" name="图片 165" descr="DSC_1386"/>
            <wp:cNvGraphicFramePr/>
            <a:graphic xmlns:a="http://schemas.openxmlformats.org/drawingml/2006/main">
              <a:graphicData uri="http://schemas.openxmlformats.org/drawingml/2006/picture">
                <pic:pic xmlns:pic="http://schemas.openxmlformats.org/drawingml/2006/picture">
                  <pic:nvPicPr>
                    <pic:cNvPr id="165" name="图片 165" descr="DSC_1386"/>
                    <pic:cNvPicPr/>
                  </pic:nvPicPr>
                  <pic:blipFill>
                    <a:blip r:embed="rId71"/>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66" name="图片 166" descr="DSC_1389"/>
            <wp:cNvGraphicFramePr/>
            <a:graphic xmlns:a="http://schemas.openxmlformats.org/drawingml/2006/main">
              <a:graphicData uri="http://schemas.openxmlformats.org/drawingml/2006/picture">
                <pic:pic xmlns:pic="http://schemas.openxmlformats.org/drawingml/2006/picture">
                  <pic:nvPicPr>
                    <pic:cNvPr id="166" name="图片 166" descr="DSC_1389"/>
                    <pic:cNvPicPr/>
                  </pic:nvPicPr>
                  <pic:blipFill>
                    <a:blip r:embed="rId72"/>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drawing>
          <wp:inline distT="0" distB="0" distL="114300" distR="114300">
            <wp:extent cx="1800225" cy="1080135"/>
            <wp:effectExtent l="0" t="0" r="9525" b="5715"/>
            <wp:docPr id="167" name="图片 1"/>
            <wp:cNvGraphicFramePr/>
            <a:graphic xmlns:a="http://schemas.openxmlformats.org/drawingml/2006/main">
              <a:graphicData uri="http://schemas.openxmlformats.org/drawingml/2006/picture">
                <pic:pic xmlns:pic="http://schemas.openxmlformats.org/drawingml/2006/picture">
                  <pic:nvPicPr>
                    <pic:cNvPr id="167" name="图片 1"/>
                    <pic:cNvPicPr/>
                  </pic:nvPicPr>
                  <pic:blipFill>
                    <a:blip r:embed="rId73"/>
                    <a:stretch>
                      <a:fillRect/>
                    </a:stretch>
                  </pic:blipFill>
                  <pic:spPr>
                    <a:xfrm>
                      <a:off x="0" y="0"/>
                      <a:ext cx="1800225" cy="1080135"/>
                    </a:xfrm>
                    <a:prstGeom prst="rect">
                      <a:avLst/>
                    </a:prstGeom>
                    <a:noFill/>
                    <a:ln>
                      <a:noFill/>
                    </a:ln>
                  </pic:spPr>
                </pic:pic>
              </a:graphicData>
            </a:graphic>
          </wp:inline>
        </w:drawing>
      </w: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168" name="图片 168" descr="DSC_1393"/>
            <wp:cNvGraphicFramePr/>
            <a:graphic xmlns:a="http://schemas.openxmlformats.org/drawingml/2006/main">
              <a:graphicData uri="http://schemas.openxmlformats.org/drawingml/2006/picture">
                <pic:pic xmlns:pic="http://schemas.openxmlformats.org/drawingml/2006/picture">
                  <pic:nvPicPr>
                    <pic:cNvPr id="168" name="图片 168" descr="DSC_1393"/>
                    <pic:cNvPicPr/>
                  </pic:nvPicPr>
                  <pic:blipFill>
                    <a:blip r:embed="rId74"/>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drawing>
          <wp:inline distT="0" distB="0" distL="114300" distR="114300">
            <wp:extent cx="1800225" cy="1080135"/>
            <wp:effectExtent l="0" t="0" r="9525" b="5715"/>
            <wp:docPr id="169" name="图片 2"/>
            <wp:cNvGraphicFramePr/>
            <a:graphic xmlns:a="http://schemas.openxmlformats.org/drawingml/2006/main">
              <a:graphicData uri="http://schemas.openxmlformats.org/drawingml/2006/picture">
                <pic:pic xmlns:pic="http://schemas.openxmlformats.org/drawingml/2006/picture">
                  <pic:nvPicPr>
                    <pic:cNvPr id="169" name="图片 2"/>
                    <pic:cNvPicPr/>
                  </pic:nvPicPr>
                  <pic:blipFill>
                    <a:blip r:embed="rId75"/>
                    <a:stretch>
                      <a:fillRect/>
                    </a:stretch>
                  </pic:blipFill>
                  <pic:spPr>
                    <a:xfrm>
                      <a:off x="0" y="0"/>
                      <a:ext cx="1800225" cy="1080135"/>
                    </a:xfrm>
                    <a:prstGeom prst="rect">
                      <a:avLst/>
                    </a:prstGeom>
                    <a:noFill/>
                    <a:ln>
                      <a:noFill/>
                    </a:ln>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170" name="图片 170" descr="DSC_1397"/>
            <wp:cNvGraphicFramePr/>
            <a:graphic xmlns:a="http://schemas.openxmlformats.org/drawingml/2006/main">
              <a:graphicData uri="http://schemas.openxmlformats.org/drawingml/2006/picture">
                <pic:pic xmlns:pic="http://schemas.openxmlformats.org/drawingml/2006/picture">
                  <pic:nvPicPr>
                    <pic:cNvPr id="170" name="图片 170" descr="DSC_1397"/>
                    <pic:cNvPicPr/>
                  </pic:nvPicPr>
                  <pic:blipFill>
                    <a:blip r:embed="rId76"/>
                    <a:stretch>
                      <a:fillRect/>
                    </a:stretch>
                  </pic:blipFill>
                  <pic:spPr>
                    <a:xfrm>
                      <a:off x="0" y="0"/>
                      <a:ext cx="1800225" cy="1080135"/>
                    </a:xfrm>
                    <a:prstGeom prst="rect">
                      <a:avLst/>
                    </a:prstGeom>
                  </pic:spPr>
                </pic:pic>
              </a:graphicData>
            </a:graphic>
          </wp:inline>
        </w:drawing>
      </w:r>
    </w:p>
    <w:p>
      <w:pPr>
        <w:ind w:right="560"/>
        <w:jc w:val="center"/>
        <w:rPr>
          <w:rFonts w:hint="eastAsia" w:ascii="宋体" w:eastAsia="宋体"/>
          <w:b/>
          <w:sz w:val="15"/>
          <w:szCs w:val="15"/>
          <w:lang w:eastAsia="zh-CN"/>
        </w:rPr>
      </w:pPr>
      <w:r>
        <w:rPr>
          <w:rFonts w:hint="eastAsia" w:ascii="宋体"/>
          <w:b/>
          <w:sz w:val="15"/>
          <w:szCs w:val="15"/>
          <w:lang w:val="en-US" w:eastAsia="zh-CN"/>
        </w:rPr>
        <w:drawing>
          <wp:inline distT="0" distB="0" distL="114300" distR="114300">
            <wp:extent cx="1800225" cy="1080135"/>
            <wp:effectExtent l="0" t="0" r="9525" b="5715"/>
            <wp:docPr id="171" name="图片 171" descr="DSC_1401"/>
            <wp:cNvGraphicFramePr/>
            <a:graphic xmlns:a="http://schemas.openxmlformats.org/drawingml/2006/main">
              <a:graphicData uri="http://schemas.openxmlformats.org/drawingml/2006/picture">
                <pic:pic xmlns:pic="http://schemas.openxmlformats.org/drawingml/2006/picture">
                  <pic:nvPicPr>
                    <pic:cNvPr id="171" name="图片 171" descr="DSC_1401"/>
                    <pic:cNvPicPr/>
                  </pic:nvPicPr>
                  <pic:blipFill>
                    <a:blip r:embed="rId77"/>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b/>
          <w:sz w:val="15"/>
          <w:szCs w:val="15"/>
          <w:lang w:val="en-US" w:eastAsia="zh-CN"/>
        </w:rPr>
        <w:drawing>
          <wp:inline distT="0" distB="0" distL="114300" distR="114300">
            <wp:extent cx="1800225" cy="1080135"/>
            <wp:effectExtent l="0" t="0" r="9525" b="5715"/>
            <wp:docPr id="172" name="图片 172" descr="DSC_1404"/>
            <wp:cNvGraphicFramePr/>
            <a:graphic xmlns:a="http://schemas.openxmlformats.org/drawingml/2006/main">
              <a:graphicData uri="http://schemas.openxmlformats.org/drawingml/2006/picture">
                <pic:pic xmlns:pic="http://schemas.openxmlformats.org/drawingml/2006/picture">
                  <pic:nvPicPr>
                    <pic:cNvPr id="172" name="图片 172" descr="DSC_1404"/>
                    <pic:cNvPicPr/>
                  </pic:nvPicPr>
                  <pic:blipFill>
                    <a:blip r:embed="rId78"/>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rPr>
          <w:rFonts w:hint="eastAsia" w:ascii="宋体" w:eastAsia="宋体"/>
          <w:b/>
          <w:sz w:val="15"/>
          <w:szCs w:val="15"/>
          <w:lang w:eastAsia="zh-CN"/>
        </w:rPr>
        <w:drawing>
          <wp:inline distT="0" distB="0" distL="114300" distR="114300">
            <wp:extent cx="1800225" cy="1080135"/>
            <wp:effectExtent l="0" t="0" r="9525" b="5715"/>
            <wp:docPr id="173" name="图片 173" descr="DSC_1405"/>
            <wp:cNvGraphicFramePr/>
            <a:graphic xmlns:a="http://schemas.openxmlformats.org/drawingml/2006/main">
              <a:graphicData uri="http://schemas.openxmlformats.org/drawingml/2006/picture">
                <pic:pic xmlns:pic="http://schemas.openxmlformats.org/drawingml/2006/picture">
                  <pic:nvPicPr>
                    <pic:cNvPr id="173" name="图片 173" descr="DSC_1405"/>
                    <pic:cNvPicPr/>
                  </pic:nvPicPr>
                  <pic:blipFill>
                    <a:blip r:embed="rId79"/>
                    <a:stretch>
                      <a:fillRect/>
                    </a:stretch>
                  </pic:blipFill>
                  <pic:spPr>
                    <a:xfrm>
                      <a:off x="0" y="0"/>
                      <a:ext cx="1800225" cy="1080135"/>
                    </a:xfrm>
                    <a:prstGeom prst="rect">
                      <a:avLst/>
                    </a:prstGeom>
                  </pic:spPr>
                </pic:pic>
              </a:graphicData>
            </a:graphic>
          </wp:inline>
        </w:drawing>
      </w:r>
    </w:p>
    <w:p>
      <w:pPr>
        <w:ind w:right="560"/>
        <w:jc w:val="center"/>
        <w:rPr>
          <w:rFonts w:hint="eastAsia"/>
          <w:lang w:val="en-US" w:eastAsia="zh-CN"/>
        </w:rPr>
      </w:pPr>
      <w:r>
        <w:rPr>
          <w:rFonts w:hint="eastAsia" w:ascii="宋体"/>
          <w:b/>
          <w:sz w:val="15"/>
          <w:szCs w:val="15"/>
          <w:lang w:val="en-US" w:eastAsia="zh-CN"/>
        </w:rPr>
        <w:drawing>
          <wp:inline distT="0" distB="0" distL="114300" distR="114300">
            <wp:extent cx="1800225" cy="1080135"/>
            <wp:effectExtent l="0" t="0" r="9525" b="5715"/>
            <wp:docPr id="174" name="图片 174" descr="DSC_1407"/>
            <wp:cNvGraphicFramePr/>
            <a:graphic xmlns:a="http://schemas.openxmlformats.org/drawingml/2006/main">
              <a:graphicData uri="http://schemas.openxmlformats.org/drawingml/2006/picture">
                <pic:pic xmlns:pic="http://schemas.openxmlformats.org/drawingml/2006/picture">
                  <pic:nvPicPr>
                    <pic:cNvPr id="174" name="图片 174" descr="DSC_1407"/>
                    <pic:cNvPicPr/>
                  </pic:nvPicPr>
                  <pic:blipFill>
                    <a:blip r:embed="rId80"/>
                    <a:stretch>
                      <a:fillRect/>
                    </a:stretch>
                  </pic:blipFill>
                  <pic:spPr>
                    <a:xfrm>
                      <a:off x="0" y="0"/>
                      <a:ext cx="1800225" cy="1080135"/>
                    </a:xfrm>
                    <a:prstGeom prst="rect">
                      <a:avLst/>
                    </a:prstGeom>
                  </pic:spPr>
                </pic:pic>
              </a:graphicData>
            </a:graphic>
          </wp:inline>
        </w:drawing>
      </w:r>
      <w:r>
        <w:rPr>
          <w:rFonts w:hint="eastAsia" w:ascii="宋体"/>
          <w:b/>
          <w:sz w:val="15"/>
          <w:szCs w:val="15"/>
          <w:lang w:val="en-US" w:eastAsia="zh-CN"/>
        </w:rPr>
        <w:t xml:space="preserve">  </w:t>
      </w:r>
      <w:r>
        <w:drawing>
          <wp:inline distT="0" distB="0" distL="114300" distR="114300">
            <wp:extent cx="1800225" cy="1080135"/>
            <wp:effectExtent l="0" t="0" r="9525" b="5715"/>
            <wp:docPr id="175" name="图片 3"/>
            <wp:cNvGraphicFramePr/>
            <a:graphic xmlns:a="http://schemas.openxmlformats.org/drawingml/2006/main">
              <a:graphicData uri="http://schemas.openxmlformats.org/drawingml/2006/picture">
                <pic:pic xmlns:pic="http://schemas.openxmlformats.org/drawingml/2006/picture">
                  <pic:nvPicPr>
                    <pic:cNvPr id="175" name="图片 3"/>
                    <pic:cNvPicPr/>
                  </pic:nvPicPr>
                  <pic:blipFill>
                    <a:blip r:embed="rId81"/>
                    <a:stretch>
                      <a:fillRect/>
                    </a:stretch>
                  </pic:blipFill>
                  <pic:spPr>
                    <a:xfrm>
                      <a:off x="0" y="0"/>
                      <a:ext cx="1800225" cy="1080135"/>
                    </a:xfrm>
                    <a:prstGeom prst="rect">
                      <a:avLst/>
                    </a:prstGeom>
                    <a:noFill/>
                    <a:ln>
                      <a:noFill/>
                    </a:ln>
                  </pic:spPr>
                </pic:pic>
              </a:graphicData>
            </a:graphic>
          </wp:inline>
        </w:drawing>
      </w:r>
      <w:r>
        <w:rPr>
          <w:rFonts w:hint="eastAsia" w:ascii="宋体"/>
          <w:b/>
          <w:sz w:val="15"/>
          <w:szCs w:val="15"/>
          <w:lang w:val="en-US" w:eastAsia="zh-CN"/>
        </w:rPr>
        <w:t xml:space="preserve">  </w:t>
      </w:r>
      <w:r>
        <w:rPr>
          <w:rFonts w:hint="eastAsia"/>
          <w:lang w:val="en-US" w:eastAsia="zh-CN"/>
        </w:rPr>
        <w:drawing>
          <wp:inline distT="0" distB="0" distL="114300" distR="114300">
            <wp:extent cx="1800225" cy="1080135"/>
            <wp:effectExtent l="0" t="0" r="9525" b="5715"/>
            <wp:docPr id="176" name="图片 176" descr="DSC_1409"/>
            <wp:cNvGraphicFramePr/>
            <a:graphic xmlns:a="http://schemas.openxmlformats.org/drawingml/2006/main">
              <a:graphicData uri="http://schemas.openxmlformats.org/drawingml/2006/picture">
                <pic:pic xmlns:pic="http://schemas.openxmlformats.org/drawingml/2006/picture">
                  <pic:nvPicPr>
                    <pic:cNvPr id="176" name="图片 176" descr="DSC_1409"/>
                    <pic:cNvPicPr/>
                  </pic:nvPicPr>
                  <pic:blipFill>
                    <a:blip r:embed="rId82"/>
                    <a:stretch>
                      <a:fillRect/>
                    </a:stretch>
                  </pic:blipFill>
                  <pic:spPr>
                    <a:xfrm>
                      <a:off x="0" y="0"/>
                      <a:ext cx="1800225" cy="1080135"/>
                    </a:xfrm>
                    <a:prstGeom prst="rect">
                      <a:avLst/>
                    </a:prstGeom>
                  </pic:spPr>
                </pic:pic>
              </a:graphicData>
            </a:graphic>
          </wp:inline>
        </w:drawing>
      </w:r>
    </w:p>
    <w:bookmarkEnd w:id="0"/>
    <w:sectPr>
      <w:footerReference r:id="rId10" w:type="first"/>
      <w:footerReference r:id="rId9" w:type="default"/>
      <w:pgSz w:w="11906" w:h="16838"/>
      <w:pgMar w:top="720" w:right="720" w:bottom="424" w:left="720"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00"/>
    <w:family w:val="auto"/>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text" w:xAlign="center" w:y="2"/>
      <w:tabs>
        <w:tab w:val="center" w:pos="4153"/>
        <w:tab w:val="right" w:pos="8306"/>
      </w:tabs>
      <w:rPr>
        <w:rStyle w:val="10"/>
      </w:rPr>
    </w:pPr>
    <w:r>
      <w:fldChar w:fldCharType="begin"/>
    </w:r>
    <w:r>
      <w:rPr>
        <w:rStyle w:val="10"/>
      </w:rPr>
      <w:instrText xml:space="preserve">PAGE  </w:instrText>
    </w:r>
    <w:r>
      <w:fldChar w:fldCharType="separate"/>
    </w:r>
    <w:r>
      <w:rPr>
        <w:rStyle w:val="10"/>
      </w:rPr>
      <w:t>- 1 -</w:t>
    </w:r>
    <w:r>
      <w:fldChar w:fldCharType="end"/>
    </w:r>
  </w:p>
  <w:p>
    <w:pPr>
      <w:pStyle w:val="4"/>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153"/>
        <w:tab w:val="right"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text" w:xAlign="center" w:y="2"/>
      <w:tabs>
        <w:tab w:val="center" w:pos="4153"/>
        <w:tab w:val="right" w:pos="8306"/>
      </w:tabs>
      <w:rPr>
        <w:rStyle w:val="10"/>
      </w:rPr>
    </w:pPr>
    <w:r>
      <w:fldChar w:fldCharType="begin"/>
    </w:r>
    <w:r>
      <w:rPr>
        <w:rStyle w:val="10"/>
      </w:rPr>
      <w:instrText xml:space="preserve">PAGE  </w:instrText>
    </w:r>
    <w:r>
      <w:fldChar w:fldCharType="separate"/>
    </w:r>
    <w:r>
      <w:rPr>
        <w:rStyle w:val="10"/>
      </w:rPr>
      <w:t>- 1 -</w:t>
    </w:r>
    <w:r>
      <w:fldChar w:fldCharType="end"/>
    </w:r>
  </w:p>
  <w:p>
    <w:pPr>
      <w:pStyle w:val="4"/>
      <w:tabs>
        <w:tab w:val="center" w:pos="4153"/>
        <w:tab w:val="right"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153"/>
        <w:tab w:val="right"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1C8C39"/>
    <w:multiLevelType w:val="singleLevel"/>
    <w:tmpl w:val="811C8C39"/>
    <w:lvl w:ilvl="0" w:tentative="0">
      <w:start w:val="1"/>
      <w:numFmt w:val="chineseCounting"/>
      <w:suff w:val="nothing"/>
      <w:lvlText w:val="%1、"/>
      <w:lvlJc w:val="left"/>
      <w:rPr>
        <w:rFonts w:hint="eastAsia"/>
      </w:rPr>
    </w:lvl>
  </w:abstractNum>
  <w:abstractNum w:abstractNumId="1">
    <w:nsid w:val="99CC5A16"/>
    <w:multiLevelType w:val="singleLevel"/>
    <w:tmpl w:val="99CC5A16"/>
    <w:lvl w:ilvl="0" w:tentative="0">
      <w:start w:val="1"/>
      <w:numFmt w:val="decimal"/>
      <w:suff w:val="nothing"/>
      <w:lvlText w:val="%1、"/>
      <w:lvlJc w:val="left"/>
    </w:lvl>
  </w:abstractNum>
  <w:abstractNum w:abstractNumId="2">
    <w:nsid w:val="C58E4BBC"/>
    <w:multiLevelType w:val="singleLevel"/>
    <w:tmpl w:val="C58E4BBC"/>
    <w:lvl w:ilvl="0" w:tentative="0">
      <w:start w:val="2"/>
      <w:numFmt w:val="chineseCounting"/>
      <w:suff w:val="nothing"/>
      <w:lvlText w:val="%1、"/>
      <w:lvlJc w:val="left"/>
      <w:rPr>
        <w:rFonts w:hint="eastAsia"/>
      </w:rPr>
    </w:lvl>
  </w:abstractNum>
  <w:abstractNum w:abstractNumId="3">
    <w:nsid w:val="E45CB667"/>
    <w:multiLevelType w:val="singleLevel"/>
    <w:tmpl w:val="E45CB667"/>
    <w:lvl w:ilvl="0" w:tentative="0">
      <w:start w:val="1"/>
      <w:numFmt w:val="decimal"/>
      <w:suff w:val="nothing"/>
      <w:lvlText w:val="%1、"/>
      <w:lvlJc w:val="left"/>
    </w:lvl>
  </w:abstractNum>
  <w:abstractNum w:abstractNumId="4">
    <w:nsid w:val="0AF59004"/>
    <w:multiLevelType w:val="singleLevel"/>
    <w:tmpl w:val="0AF59004"/>
    <w:lvl w:ilvl="0" w:tentative="0">
      <w:start w:val="1"/>
      <w:numFmt w:val="decimal"/>
      <w:suff w:val="nothing"/>
      <w:lvlText w:val="%1、"/>
      <w:lvlJc w:val="left"/>
      <w:pPr>
        <w:ind w:left="560" w:leftChars="0" w:firstLine="0" w:firstLineChars="0"/>
      </w:pPr>
    </w:lvl>
  </w:abstractNum>
  <w:abstractNum w:abstractNumId="5">
    <w:nsid w:val="3062501B"/>
    <w:multiLevelType w:val="singleLevel"/>
    <w:tmpl w:val="3062501B"/>
    <w:lvl w:ilvl="0" w:tentative="0">
      <w:start w:val="1"/>
      <w:numFmt w:val="decimal"/>
      <w:suff w:val="nothing"/>
      <w:lvlText w:val="%1．"/>
      <w:lvlJc w:val="left"/>
    </w:lvl>
  </w:abstractNum>
  <w:abstractNum w:abstractNumId="6">
    <w:nsid w:val="46121383"/>
    <w:multiLevelType w:val="singleLevel"/>
    <w:tmpl w:val="46121383"/>
    <w:lvl w:ilvl="0" w:tentative="0">
      <w:start w:val="1"/>
      <w:numFmt w:val="decimal"/>
      <w:suff w:val="nothing"/>
      <w:lvlText w:val="%1、"/>
      <w:lvlJc w:val="left"/>
    </w:lvl>
  </w:abstractNum>
  <w:abstractNum w:abstractNumId="7">
    <w:nsid w:val="5A4F2070"/>
    <w:multiLevelType w:val="singleLevel"/>
    <w:tmpl w:val="5A4F2070"/>
    <w:lvl w:ilvl="0" w:tentative="0">
      <w:start w:val="1"/>
      <w:numFmt w:val="japaneseCounting"/>
      <w:lvlText w:val="（%1）"/>
      <w:lvlJc w:val="left"/>
      <w:pPr>
        <w:tabs>
          <w:tab w:val="left" w:pos="1456"/>
        </w:tabs>
        <w:ind w:left="1456" w:hanging="855"/>
      </w:pPr>
      <w:rPr>
        <w:rFonts w:hint="eastAsia"/>
        <w:lang w:val="en-US"/>
      </w:rPr>
    </w:lvl>
  </w:abstractNum>
  <w:abstractNum w:abstractNumId="8">
    <w:nsid w:val="5A4F2091"/>
    <w:multiLevelType w:val="multilevel"/>
    <w:tmpl w:val="5A4F2091"/>
    <w:lvl w:ilvl="0" w:tentative="0">
      <w:start w:val="1"/>
      <w:numFmt w:val="japaneseCounting"/>
      <w:lvlText w:val="%1、"/>
      <w:lvlJc w:val="left"/>
      <w:pPr>
        <w:tabs>
          <w:tab w:val="left" w:pos="1470"/>
        </w:tabs>
        <w:ind w:left="1470" w:hanging="570"/>
      </w:pPr>
      <w:rPr>
        <w:rFonts w:hint="eastAsia"/>
        <w:b/>
      </w:rPr>
    </w:lvl>
    <w:lvl w:ilvl="1" w:tentative="0">
      <w:start w:val="1"/>
      <w:numFmt w:val="lowerLetter"/>
      <w:lvlText w:val="%2)"/>
      <w:lvlJc w:val="left"/>
      <w:pPr>
        <w:tabs>
          <w:tab w:val="left" w:pos="1740"/>
        </w:tabs>
        <w:ind w:left="1740" w:hanging="420"/>
      </w:pPr>
    </w:lvl>
    <w:lvl w:ilvl="2" w:tentative="0">
      <w:start w:val="1"/>
      <w:numFmt w:val="lowerRoman"/>
      <w:lvlText w:val="%3."/>
      <w:lvlJc w:val="right"/>
      <w:pPr>
        <w:tabs>
          <w:tab w:val="left" w:pos="2160"/>
        </w:tabs>
        <w:ind w:left="2160" w:hanging="420"/>
      </w:p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9">
    <w:nsid w:val="5A4F209C"/>
    <w:multiLevelType w:val="singleLevel"/>
    <w:tmpl w:val="5A4F209C"/>
    <w:lvl w:ilvl="0" w:tentative="0">
      <w:start w:val="1"/>
      <w:numFmt w:val="decimal"/>
      <w:suff w:val="nothing"/>
      <w:lvlText w:val="%1．"/>
      <w:lvlJc w:val="left"/>
    </w:lvl>
  </w:abstractNum>
  <w:num w:numId="1">
    <w:abstractNumId w:val="8"/>
  </w:num>
  <w:num w:numId="2">
    <w:abstractNumId w:val="8"/>
    <w:lvlOverride w:ilvl="0">
      <w:startOverride w:val="4"/>
    </w:lvlOverride>
  </w:num>
  <w:num w:numId="3">
    <w:abstractNumId w:val="7"/>
  </w:num>
  <w:num w:numId="4">
    <w:abstractNumId w:val="9"/>
  </w:num>
  <w:num w:numId="5">
    <w:abstractNumId w:val="5"/>
  </w:num>
  <w:num w:numId="6">
    <w:abstractNumId w:val="0"/>
  </w:num>
  <w:num w:numId="7">
    <w:abstractNumId w:val="4"/>
  </w:num>
  <w:num w:numId="8">
    <w:abstractNumId w:val="6"/>
  </w:num>
  <w:num w:numId="9">
    <w:abstractNumId w:val="1"/>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B29D8"/>
    <w:rsid w:val="04770FF8"/>
    <w:rsid w:val="051743E8"/>
    <w:rsid w:val="053710A9"/>
    <w:rsid w:val="06873668"/>
    <w:rsid w:val="0754495F"/>
    <w:rsid w:val="076D0429"/>
    <w:rsid w:val="09FF6129"/>
    <w:rsid w:val="0A223038"/>
    <w:rsid w:val="0DA41815"/>
    <w:rsid w:val="12620AF0"/>
    <w:rsid w:val="136778BE"/>
    <w:rsid w:val="171217EE"/>
    <w:rsid w:val="179A7F88"/>
    <w:rsid w:val="19DC3C1B"/>
    <w:rsid w:val="1A681F3E"/>
    <w:rsid w:val="1BEF6B28"/>
    <w:rsid w:val="1CB36975"/>
    <w:rsid w:val="1EF27313"/>
    <w:rsid w:val="213C010B"/>
    <w:rsid w:val="23DF5D76"/>
    <w:rsid w:val="27656841"/>
    <w:rsid w:val="286A3796"/>
    <w:rsid w:val="2D3043CE"/>
    <w:rsid w:val="2E8278BB"/>
    <w:rsid w:val="2F3C6A81"/>
    <w:rsid w:val="30DB32FC"/>
    <w:rsid w:val="31351E46"/>
    <w:rsid w:val="32883081"/>
    <w:rsid w:val="32F77992"/>
    <w:rsid w:val="33F138EF"/>
    <w:rsid w:val="34D027E8"/>
    <w:rsid w:val="35C14F4F"/>
    <w:rsid w:val="35E271F2"/>
    <w:rsid w:val="366644FF"/>
    <w:rsid w:val="37782109"/>
    <w:rsid w:val="3814000D"/>
    <w:rsid w:val="381F18DB"/>
    <w:rsid w:val="3AB02321"/>
    <w:rsid w:val="3AB95AF0"/>
    <w:rsid w:val="3C332B9D"/>
    <w:rsid w:val="3C333C28"/>
    <w:rsid w:val="3E0B3588"/>
    <w:rsid w:val="40477B63"/>
    <w:rsid w:val="40EC75FC"/>
    <w:rsid w:val="41CF3FB5"/>
    <w:rsid w:val="43FF08FE"/>
    <w:rsid w:val="44217D6F"/>
    <w:rsid w:val="453B500B"/>
    <w:rsid w:val="49433406"/>
    <w:rsid w:val="49DD0D72"/>
    <w:rsid w:val="4BB1638C"/>
    <w:rsid w:val="4D317315"/>
    <w:rsid w:val="4D584AD2"/>
    <w:rsid w:val="4D5F5D9E"/>
    <w:rsid w:val="4DD06DC9"/>
    <w:rsid w:val="4E371A80"/>
    <w:rsid w:val="4F37019C"/>
    <w:rsid w:val="51F331BD"/>
    <w:rsid w:val="5225543E"/>
    <w:rsid w:val="538E7669"/>
    <w:rsid w:val="5BF3425E"/>
    <w:rsid w:val="5CD156CA"/>
    <w:rsid w:val="5F474893"/>
    <w:rsid w:val="600C3ACF"/>
    <w:rsid w:val="60FB24B5"/>
    <w:rsid w:val="60FD7741"/>
    <w:rsid w:val="614077B9"/>
    <w:rsid w:val="61E071B1"/>
    <w:rsid w:val="638B4344"/>
    <w:rsid w:val="67072FDC"/>
    <w:rsid w:val="670A6019"/>
    <w:rsid w:val="672C332A"/>
    <w:rsid w:val="680E7E9A"/>
    <w:rsid w:val="693C7BEB"/>
    <w:rsid w:val="69632607"/>
    <w:rsid w:val="6B0F5A41"/>
    <w:rsid w:val="6C083F65"/>
    <w:rsid w:val="6E452CA8"/>
    <w:rsid w:val="6FA25DC3"/>
    <w:rsid w:val="70EE5E2F"/>
    <w:rsid w:val="736A79B9"/>
    <w:rsid w:val="740304C5"/>
    <w:rsid w:val="76CE539F"/>
    <w:rsid w:val="78E513AC"/>
    <w:rsid w:val="79173C44"/>
    <w:rsid w:val="7C394776"/>
    <w:rsid w:val="7D6B4F27"/>
    <w:rsid w:val="7E485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rPr>
  </w:style>
  <w:style w:type="character" w:default="1" w:styleId="8">
    <w:name w:val="Default Paragraph Font"/>
    <w:semiHidden/>
    <w:qFormat/>
    <w:uiPriority w:val="0"/>
  </w:style>
  <w:style w:type="table" w:default="1" w:styleId="7">
    <w:name w:val="Normal Table"/>
    <w:semiHidden/>
    <w:qFormat/>
    <w:uiPriority w:val="0"/>
    <w:rPr>
      <w:lang w:val="en-US" w:eastAsia="zh-CN"/>
    </w:rPr>
    <w:tblPr>
      <w:tblCellMar>
        <w:top w:w="0" w:type="dxa"/>
        <w:left w:w="108" w:type="dxa"/>
        <w:bottom w:w="0" w:type="dxa"/>
        <w:right w:w="108" w:type="dxa"/>
      </w:tblCellMar>
    </w:tblPr>
  </w:style>
  <w:style w:type="paragraph" w:styleId="2">
    <w:name w:val="Body Text Indent"/>
    <w:basedOn w:val="1"/>
    <w:qFormat/>
    <w:uiPriority w:val="0"/>
    <w:pPr>
      <w:spacing w:line="360" w:lineRule="auto"/>
      <w:ind w:firstLine="601"/>
    </w:pPr>
    <w:rPr>
      <w:rFonts w:hint="default" w:ascii="宋体"/>
      <w:sz w:val="28"/>
      <w:szCs w:val="20"/>
    </w:rPr>
  </w:style>
  <w:style w:type="paragraph" w:styleId="3">
    <w:name w:val="Date"/>
    <w:basedOn w:val="1"/>
    <w:next w:val="1"/>
    <w:link w:val="15"/>
    <w:qFormat/>
    <w:uiPriority w:val="0"/>
    <w:pPr>
      <w:ind w:left="100" w:leftChars="2500"/>
    </w:pPr>
  </w:style>
  <w:style w:type="paragraph" w:styleId="4">
    <w:name w:val="footer"/>
    <w:basedOn w:val="1"/>
    <w:qFormat/>
    <w:uiPriority w:val="0"/>
    <w:pPr>
      <w:snapToGrid w:val="0"/>
      <w:jc w:val="left"/>
    </w:pPr>
    <w:rPr>
      <w:sz w:val="18"/>
      <w:szCs w:val="18"/>
    </w:rPr>
  </w:style>
  <w:style w:type="paragraph" w:styleId="5">
    <w:name w:val="header"/>
    <w:basedOn w:val="1"/>
    <w:link w:val="14"/>
    <w:qFormat/>
    <w:uiPriority w:val="0"/>
    <w:pPr>
      <w:pBdr>
        <w:bottom w:val="single" w:color="auto" w:sz="6" w:space="1"/>
      </w:pBdr>
      <w:snapToGrid w:val="0"/>
      <w:jc w:val="center"/>
    </w:pPr>
    <w:rPr>
      <w:sz w:val="18"/>
      <w:szCs w:val="18"/>
    </w:rPr>
  </w:style>
  <w:style w:type="paragraph" w:styleId="6">
    <w:name w:val="Body Text First Indent 2"/>
    <w:basedOn w:val="2"/>
    <w:qFormat/>
    <w:uiPriority w:val="0"/>
    <w:pPr>
      <w:ind w:firstLine="420" w:firstLineChars="200"/>
    </w:pPr>
    <w:rPr>
      <w:rFonts w:ascii="Times New Roman" w:hAnsi="Times New Roman" w:eastAsia="宋体" w:cs="Times New Roman"/>
    </w:rPr>
  </w:style>
  <w:style w:type="character" w:styleId="9">
    <w:name w:val="Strong"/>
    <w:basedOn w:val="8"/>
    <w:qFormat/>
    <w:uiPriority w:val="0"/>
    <w:rPr>
      <w:b/>
    </w:rPr>
  </w:style>
  <w:style w:type="character" w:styleId="10">
    <w:name w:val="page number"/>
    <w:basedOn w:val="8"/>
    <w:qFormat/>
    <w:uiPriority w:val="0"/>
  </w:style>
  <w:style w:type="character" w:styleId="11">
    <w:name w:val="Emphasis"/>
    <w:basedOn w:val="8"/>
    <w:qFormat/>
    <w:uiPriority w:val="0"/>
    <w:rPr>
      <w:i/>
    </w:rPr>
  </w:style>
  <w:style w:type="character" w:styleId="12">
    <w:name w:val="Hyperlink"/>
    <w:basedOn w:val="8"/>
    <w:qFormat/>
    <w:uiPriority w:val="0"/>
    <w:rPr>
      <w:color w:val="0000FF"/>
      <w:u w:val="single"/>
    </w:rPr>
  </w:style>
  <w:style w:type="paragraph" w:customStyle="1" w:styleId="13">
    <w:name w:val="HTML Preformatted"/>
    <w:basedOn w:val="1"/>
    <w:qFormat/>
    <w:uiPriority w:val="0"/>
    <w:pPr>
      <w:jc w:val="left"/>
    </w:pPr>
    <w:rPr>
      <w:rFonts w:hint="eastAsia" w:ascii="宋体" w:hAnsi="宋体" w:cs="宋体"/>
      <w:kern w:val="0"/>
      <w:sz w:val="24"/>
    </w:rPr>
  </w:style>
  <w:style w:type="character" w:customStyle="1" w:styleId="14">
    <w:name w:val="页眉 Char"/>
    <w:basedOn w:val="8"/>
    <w:link w:val="5"/>
    <w:qFormat/>
    <w:uiPriority w:val="0"/>
    <w:rPr>
      <w:kern w:val="2"/>
      <w:sz w:val="18"/>
      <w:szCs w:val="18"/>
    </w:rPr>
  </w:style>
  <w:style w:type="character" w:customStyle="1" w:styleId="15">
    <w:name w:val="日期 Char"/>
    <w:basedOn w:val="8"/>
    <w:link w:val="3"/>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1.jpeg"/><Relationship Id="rId81" Type="http://schemas.openxmlformats.org/officeDocument/2006/relationships/image" Target="media/image70.png"/><Relationship Id="rId80" Type="http://schemas.openxmlformats.org/officeDocument/2006/relationships/image" Target="media/image69.jpeg"/><Relationship Id="rId8" Type="http://schemas.openxmlformats.org/officeDocument/2006/relationships/footer" Target="footer6.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jpeg"/><Relationship Id="rId76" Type="http://schemas.openxmlformats.org/officeDocument/2006/relationships/image" Target="media/image65.jpeg"/><Relationship Id="rId75" Type="http://schemas.openxmlformats.org/officeDocument/2006/relationships/image" Target="media/image64.png"/><Relationship Id="rId74" Type="http://schemas.openxmlformats.org/officeDocument/2006/relationships/image" Target="media/image63.jpeg"/><Relationship Id="rId73" Type="http://schemas.openxmlformats.org/officeDocument/2006/relationships/image" Target="media/image62.pn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footer" Target="footer5.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4.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3.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Pages>
  <Words>275</Words>
  <Characters>1574</Characters>
  <Lines>13</Lines>
  <Paragraphs>3</Paragraphs>
  <TotalTime>93</TotalTime>
  <ScaleCrop>false</ScaleCrop>
  <LinksUpToDate>false</LinksUpToDate>
  <CharactersWithSpaces>1846</CharactersWithSpaces>
  <Application>WPS Office_11.1.0.9513_F1E327BC-269C-435d-A152-05C5408002CA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2014-08-31T11:26:00Z</dcterms:created>
  <dc:creator>GHX-Nana</dc:creator>
  <cp:lastModifiedBy>KOPER007</cp:lastModifiedBy>
  <cp:lastPrinted>2019-09-27T05:01:00Z</cp:lastPrinted>
  <dcterms:modified xsi:type="dcterms:W3CDTF">2020-03-09T07:37:48Z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