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rPr>
          <w:rFonts w:hint="eastAsia" w:cs="Times New Roman"/>
        </w:rPr>
      </w:pPr>
    </w:p>
    <w:p>
      <w:pPr>
        <w:widowControl/>
        <w:spacing w:line="360" w:lineRule="auto"/>
        <w:ind w:firstLine="520" w:firstLineChars="200"/>
        <w:rPr>
          <w:rFonts w:ascii="宋体"/>
          <w:spacing w:val="10"/>
          <w:sz w:val="24"/>
          <w:szCs w:val="24"/>
        </w:rPr>
      </w:pPr>
    </w:p>
    <w:p>
      <w:pPr>
        <w:widowControl/>
        <w:spacing w:line="360" w:lineRule="auto"/>
        <w:ind w:firstLine="520" w:firstLineChars="200"/>
        <w:rPr>
          <w:rFonts w:ascii="宋体"/>
          <w:spacing w:val="10"/>
          <w:sz w:val="24"/>
          <w:szCs w:val="24"/>
        </w:rPr>
      </w:pPr>
    </w:p>
    <w:p>
      <w:pPr>
        <w:widowControl/>
        <w:spacing w:line="360" w:lineRule="auto"/>
        <w:ind w:firstLine="520" w:firstLineChars="200"/>
        <w:rPr>
          <w:rFonts w:ascii="宋体"/>
          <w:spacing w:val="10"/>
          <w:sz w:val="24"/>
          <w:szCs w:val="24"/>
          <w:highlight w:val="yellow"/>
        </w:rPr>
      </w:pPr>
    </w:p>
    <w:p>
      <w:pPr>
        <w:widowControl/>
        <w:tabs>
          <w:tab w:val="center" w:pos="3713"/>
          <w:tab w:val="left" w:pos="4935"/>
        </w:tabs>
        <w:spacing w:line="360" w:lineRule="auto"/>
        <w:jc w:val="center"/>
        <w:rPr>
          <w:rFonts w:ascii="宋体"/>
          <w:spacing w:val="10"/>
          <w:sz w:val="24"/>
          <w:szCs w:val="24"/>
        </w:rPr>
      </w:pPr>
      <w:r>
        <w:rPr>
          <w:rFonts w:hint="eastAsia" w:ascii="黑体" w:hAnsi="宋体" w:eastAsia="黑体" w:cs="黑体"/>
          <w:b/>
          <w:bCs/>
          <w:spacing w:val="10"/>
          <w:sz w:val="72"/>
          <w:szCs w:val="72"/>
        </w:rPr>
        <w:t>房地产估价报告</w:t>
      </w:r>
    </w:p>
    <w:p>
      <w:pPr>
        <w:widowControl/>
        <w:tabs>
          <w:tab w:val="center" w:pos="3713"/>
          <w:tab w:val="left" w:pos="4935"/>
        </w:tabs>
        <w:spacing w:line="360" w:lineRule="auto"/>
        <w:ind w:firstLine="520" w:firstLineChars="200"/>
        <w:rPr>
          <w:rFonts w:ascii="宋体"/>
          <w:spacing w:val="10"/>
          <w:sz w:val="24"/>
          <w:szCs w:val="24"/>
          <w:highlight w:val="yellow"/>
        </w:rPr>
      </w:pPr>
    </w:p>
    <w:p>
      <w:pPr>
        <w:widowControl/>
        <w:tabs>
          <w:tab w:val="center" w:pos="3713"/>
          <w:tab w:val="left" w:pos="4935"/>
        </w:tabs>
        <w:spacing w:line="360" w:lineRule="auto"/>
        <w:ind w:firstLine="520" w:firstLineChars="200"/>
        <w:jc w:val="left"/>
        <w:rPr>
          <w:rFonts w:ascii="宋体"/>
          <w:spacing w:val="10"/>
          <w:sz w:val="24"/>
          <w:szCs w:val="24"/>
          <w:highlight w:val="yellow"/>
        </w:rPr>
      </w:pPr>
    </w:p>
    <w:p>
      <w:pPr>
        <w:widowControl/>
        <w:tabs>
          <w:tab w:val="center" w:pos="3713"/>
          <w:tab w:val="left" w:pos="4935"/>
        </w:tabs>
        <w:spacing w:line="360" w:lineRule="auto"/>
        <w:ind w:firstLine="520" w:firstLineChars="200"/>
        <w:rPr>
          <w:rFonts w:ascii="宋体"/>
          <w:spacing w:val="10"/>
          <w:sz w:val="24"/>
          <w:szCs w:val="24"/>
          <w:highlight w:val="yellow"/>
        </w:rPr>
      </w:pPr>
    </w:p>
    <w:p>
      <w:pPr>
        <w:widowControl/>
        <w:tabs>
          <w:tab w:val="center" w:pos="3713"/>
          <w:tab w:val="left" w:pos="4935"/>
        </w:tabs>
        <w:spacing w:line="360" w:lineRule="auto"/>
        <w:ind w:firstLine="520" w:firstLineChars="200"/>
        <w:rPr>
          <w:rFonts w:ascii="宋体"/>
          <w:spacing w:val="10"/>
          <w:sz w:val="24"/>
          <w:szCs w:val="24"/>
          <w:highlight w:val="yellow"/>
        </w:rPr>
      </w:pPr>
    </w:p>
    <w:p>
      <w:pPr>
        <w:widowControl/>
        <w:tabs>
          <w:tab w:val="center" w:pos="3713"/>
          <w:tab w:val="left" w:pos="4935"/>
        </w:tabs>
        <w:spacing w:line="360" w:lineRule="auto"/>
        <w:ind w:firstLine="520" w:firstLineChars="200"/>
        <w:rPr>
          <w:rFonts w:ascii="宋体"/>
          <w:spacing w:val="10"/>
          <w:sz w:val="24"/>
          <w:szCs w:val="24"/>
          <w:highlight w:val="yellow"/>
        </w:rPr>
      </w:pPr>
    </w:p>
    <w:p>
      <w:pPr>
        <w:widowControl/>
        <w:tabs>
          <w:tab w:val="center" w:pos="3713"/>
          <w:tab w:val="left" w:pos="4935"/>
        </w:tabs>
        <w:spacing w:line="360" w:lineRule="auto"/>
        <w:ind w:firstLine="520" w:firstLineChars="200"/>
        <w:rPr>
          <w:rFonts w:ascii="宋体"/>
          <w:spacing w:val="10"/>
          <w:sz w:val="24"/>
          <w:szCs w:val="24"/>
          <w:highlight w:val="yellow"/>
        </w:rPr>
      </w:pPr>
    </w:p>
    <w:p>
      <w:pPr>
        <w:widowControl/>
        <w:tabs>
          <w:tab w:val="center" w:pos="3713"/>
          <w:tab w:val="left" w:pos="4935"/>
        </w:tabs>
        <w:spacing w:line="360" w:lineRule="auto"/>
        <w:ind w:firstLine="520" w:firstLineChars="200"/>
        <w:rPr>
          <w:rFonts w:ascii="宋体"/>
          <w:spacing w:val="10"/>
          <w:sz w:val="24"/>
          <w:szCs w:val="24"/>
          <w:highlight w:val="yellow"/>
        </w:rPr>
      </w:pPr>
    </w:p>
    <w:p>
      <w:pPr>
        <w:widowControl/>
        <w:tabs>
          <w:tab w:val="left" w:pos="6135"/>
        </w:tabs>
        <w:spacing w:line="360" w:lineRule="auto"/>
        <w:ind w:firstLine="520" w:firstLineChars="200"/>
        <w:jc w:val="left"/>
        <w:rPr>
          <w:rFonts w:ascii="宋体"/>
          <w:spacing w:val="10"/>
          <w:sz w:val="24"/>
          <w:szCs w:val="24"/>
          <w:highlight w:val="yellow"/>
        </w:rPr>
      </w:pPr>
    </w:p>
    <w:p>
      <w:pPr>
        <w:widowControl/>
        <w:tabs>
          <w:tab w:val="center" w:pos="3713"/>
          <w:tab w:val="left" w:pos="4935"/>
        </w:tabs>
        <w:spacing w:line="360" w:lineRule="auto"/>
        <w:ind w:firstLine="520" w:firstLineChars="200"/>
        <w:rPr>
          <w:rFonts w:ascii="宋体"/>
          <w:spacing w:val="10"/>
          <w:sz w:val="24"/>
          <w:szCs w:val="24"/>
          <w:highlight w:val="yellow"/>
        </w:rPr>
      </w:pPr>
    </w:p>
    <w:p>
      <w:pPr>
        <w:widowControl/>
        <w:tabs>
          <w:tab w:val="center" w:pos="3713"/>
          <w:tab w:val="left" w:pos="4935"/>
        </w:tabs>
        <w:spacing w:line="360" w:lineRule="auto"/>
        <w:ind w:firstLine="520" w:firstLineChars="200"/>
        <w:rPr>
          <w:rFonts w:ascii="宋体"/>
          <w:spacing w:val="10"/>
          <w:sz w:val="24"/>
          <w:szCs w:val="24"/>
          <w:highlight w:val="yellow"/>
        </w:rPr>
      </w:pPr>
    </w:p>
    <w:p>
      <w:pPr>
        <w:widowControl/>
        <w:tabs>
          <w:tab w:val="center" w:pos="3713"/>
          <w:tab w:val="left" w:pos="4935"/>
        </w:tabs>
        <w:spacing w:line="360" w:lineRule="auto"/>
        <w:rPr>
          <w:rFonts w:ascii="宋体"/>
          <w:spacing w:val="10"/>
          <w:sz w:val="24"/>
          <w:szCs w:val="24"/>
        </w:rPr>
      </w:pPr>
    </w:p>
    <w:p>
      <w:pPr>
        <w:widowControl/>
        <w:tabs>
          <w:tab w:val="center" w:pos="3713"/>
          <w:tab w:val="left" w:pos="4935"/>
        </w:tabs>
        <w:spacing w:line="360" w:lineRule="auto"/>
        <w:ind w:left="2475" w:leftChars="337" w:hanging="1767" w:hangingChars="677"/>
        <w:rPr>
          <w:rFonts w:ascii="宋体"/>
          <w:spacing w:val="10"/>
          <w:sz w:val="24"/>
          <w:szCs w:val="24"/>
        </w:rPr>
      </w:pPr>
      <w:r>
        <w:rPr>
          <w:rFonts w:hint="eastAsia" w:ascii="宋体" w:hAnsi="宋体" w:cs="宋体"/>
          <w:b/>
          <w:bCs/>
          <w:spacing w:val="10"/>
          <w:sz w:val="24"/>
          <w:szCs w:val="24"/>
        </w:rPr>
        <w:t>估价项目名称：</w:t>
      </w:r>
      <w:r>
        <w:rPr>
          <w:rFonts w:hint="eastAsia" w:ascii="宋体" w:hAnsi="宋体" w:cs="宋体"/>
          <w:spacing w:val="10"/>
          <w:sz w:val="24"/>
          <w:szCs w:val="24"/>
          <w:lang w:eastAsia="zh-CN"/>
        </w:rPr>
        <w:t>湖南怀化工业园区和安家园南区01幢101、02幢104、105号商业用房，01幢305、02幢305、306号住宅用房</w:t>
      </w:r>
      <w:r>
        <w:rPr>
          <w:rFonts w:hint="eastAsia" w:ascii="宋体" w:hAnsi="宋体" w:cs="宋体"/>
          <w:spacing w:val="10"/>
          <w:sz w:val="24"/>
          <w:szCs w:val="24"/>
        </w:rPr>
        <w:t>司法涉案的房地产市场价值评估</w:t>
      </w:r>
    </w:p>
    <w:p>
      <w:pPr>
        <w:widowControl/>
        <w:tabs>
          <w:tab w:val="left" w:pos="1155"/>
        </w:tabs>
        <w:spacing w:line="360" w:lineRule="auto"/>
        <w:ind w:left="2623" w:leftChars="337" w:right="-150" w:hanging="1915" w:hangingChars="628"/>
        <w:rPr>
          <w:rFonts w:ascii="宋体"/>
          <w:spacing w:val="10"/>
          <w:sz w:val="24"/>
          <w:szCs w:val="24"/>
        </w:rPr>
      </w:pPr>
      <w:r>
        <w:rPr>
          <w:rFonts w:hint="eastAsia" w:ascii="宋体" w:hAnsi="宋体" w:cs="宋体"/>
          <w:b/>
          <w:bCs/>
          <w:spacing w:val="32"/>
          <w:sz w:val="24"/>
          <w:szCs w:val="24"/>
        </w:rPr>
        <w:t>估价委托人：</w:t>
      </w:r>
      <w:r>
        <w:rPr>
          <w:rFonts w:hint="eastAsia" w:ascii="宋体" w:hAnsi="宋体" w:cs="宋体"/>
          <w:spacing w:val="10"/>
          <w:sz w:val="24"/>
          <w:szCs w:val="24"/>
          <w:lang w:val="zh-CN"/>
        </w:rPr>
        <w:t>湖南省中方县人民法院</w:t>
      </w:r>
    </w:p>
    <w:p>
      <w:pPr>
        <w:widowControl/>
        <w:tabs>
          <w:tab w:val="left" w:pos="1596"/>
        </w:tabs>
        <w:spacing w:line="360" w:lineRule="auto"/>
        <w:ind w:left="2347" w:leftChars="337" w:hanging="1639" w:hangingChars="628"/>
        <w:rPr>
          <w:rFonts w:ascii="宋体"/>
          <w:spacing w:val="10"/>
          <w:sz w:val="24"/>
          <w:szCs w:val="24"/>
        </w:rPr>
      </w:pPr>
      <w:r>
        <w:rPr>
          <w:rFonts w:hint="eastAsia" w:ascii="宋体" w:hAnsi="宋体" w:cs="宋体"/>
          <w:b/>
          <w:bCs/>
          <w:spacing w:val="10"/>
          <w:sz w:val="24"/>
          <w:szCs w:val="24"/>
        </w:rPr>
        <w:t>房地产估价机构：</w:t>
      </w:r>
      <w:r>
        <w:rPr>
          <w:rFonts w:hint="eastAsia" w:ascii="宋体" w:hAnsi="宋体" w:cs="宋体"/>
          <w:spacing w:val="10"/>
          <w:sz w:val="24"/>
          <w:szCs w:val="24"/>
        </w:rPr>
        <w:t>湖南经典房地产评估咨询有限公司</w:t>
      </w:r>
    </w:p>
    <w:p>
      <w:pPr>
        <w:widowControl/>
        <w:tabs>
          <w:tab w:val="left" w:pos="1596"/>
        </w:tabs>
        <w:spacing w:line="360" w:lineRule="auto"/>
        <w:ind w:left="2347" w:leftChars="337" w:hanging="1639" w:hangingChars="628"/>
        <w:rPr>
          <w:rFonts w:ascii="宋体"/>
          <w:spacing w:val="10"/>
          <w:sz w:val="24"/>
          <w:szCs w:val="24"/>
        </w:rPr>
      </w:pPr>
      <w:r>
        <w:rPr>
          <w:rFonts w:hint="eastAsia" w:ascii="宋体" w:hAnsi="宋体" w:cs="宋体"/>
          <w:b/>
          <w:bCs/>
          <w:spacing w:val="10"/>
          <w:sz w:val="24"/>
          <w:szCs w:val="24"/>
        </w:rPr>
        <w:t>注册房地产估价师：</w:t>
      </w:r>
      <w:r>
        <w:rPr>
          <w:rFonts w:ascii="宋体" w:hAnsi="宋体" w:cs="宋体"/>
          <w:b/>
          <w:bCs/>
          <w:spacing w:val="10"/>
          <w:sz w:val="24"/>
          <w:szCs w:val="24"/>
        </w:rPr>
        <w:t xml:space="preserve"> </w:t>
      </w:r>
      <w:r>
        <w:rPr>
          <w:rFonts w:hint="eastAsia" w:ascii="宋体" w:hAnsi="宋体" w:cs="宋体"/>
          <w:spacing w:val="10"/>
          <w:sz w:val="24"/>
          <w:szCs w:val="24"/>
          <w:lang w:val="zh-CN"/>
        </w:rPr>
        <w:t>李</w:t>
      </w:r>
      <w:r>
        <w:rPr>
          <w:rFonts w:ascii="宋体" w:hAnsi="宋体" w:cs="宋体"/>
          <w:spacing w:val="10"/>
          <w:sz w:val="24"/>
          <w:szCs w:val="24"/>
          <w:lang w:val="zh-CN"/>
        </w:rPr>
        <w:t xml:space="preserve">  </w:t>
      </w:r>
      <w:r>
        <w:rPr>
          <w:rFonts w:hint="eastAsia" w:ascii="宋体" w:hAnsi="宋体" w:cs="宋体"/>
          <w:spacing w:val="10"/>
          <w:sz w:val="24"/>
          <w:szCs w:val="24"/>
          <w:lang w:val="zh-CN"/>
        </w:rPr>
        <w:t>叶</w:t>
      </w:r>
      <w:r>
        <w:rPr>
          <w:rFonts w:ascii="宋体" w:hAnsi="宋体" w:cs="宋体"/>
          <w:spacing w:val="10"/>
          <w:sz w:val="24"/>
          <w:szCs w:val="24"/>
          <w:lang w:val="zh-CN"/>
        </w:rPr>
        <w:t xml:space="preserve">    </w:t>
      </w:r>
      <w:r>
        <w:rPr>
          <w:rFonts w:hint="eastAsia" w:ascii="宋体" w:hAnsi="宋体" w:cs="宋体"/>
          <w:spacing w:val="10"/>
          <w:sz w:val="24"/>
          <w:szCs w:val="24"/>
          <w:lang w:val="zh-CN"/>
        </w:rPr>
        <w:t>注册号：</w:t>
      </w:r>
      <w:r>
        <w:rPr>
          <w:rFonts w:ascii="宋体" w:hAnsi="宋体" w:cs="宋体"/>
          <w:spacing w:val="10"/>
          <w:sz w:val="24"/>
          <w:szCs w:val="24"/>
        </w:rPr>
        <w:t>4320110041</w:t>
      </w:r>
    </w:p>
    <w:p>
      <w:pPr>
        <w:widowControl/>
        <w:tabs>
          <w:tab w:val="left" w:pos="1596"/>
        </w:tabs>
        <w:spacing w:line="360" w:lineRule="auto"/>
        <w:ind w:firstLine="3250" w:firstLineChars="1250"/>
        <w:rPr>
          <w:rFonts w:ascii="宋体"/>
          <w:spacing w:val="10"/>
          <w:sz w:val="24"/>
          <w:szCs w:val="24"/>
        </w:rPr>
      </w:pPr>
      <w:r>
        <w:rPr>
          <w:rFonts w:hint="eastAsia" w:ascii="宋体" w:hAnsi="宋体" w:cs="宋体"/>
          <w:spacing w:val="10"/>
          <w:sz w:val="24"/>
          <w:szCs w:val="24"/>
        </w:rPr>
        <w:t>张</w:t>
      </w:r>
      <w:r>
        <w:rPr>
          <w:rFonts w:ascii="宋体" w:hAnsi="宋体" w:cs="宋体"/>
          <w:spacing w:val="10"/>
          <w:sz w:val="24"/>
          <w:szCs w:val="24"/>
        </w:rPr>
        <w:t xml:space="preserve">  </w:t>
      </w:r>
      <w:r>
        <w:rPr>
          <w:rFonts w:hint="eastAsia" w:ascii="宋体" w:hAnsi="宋体" w:cs="宋体"/>
          <w:spacing w:val="10"/>
          <w:sz w:val="24"/>
          <w:szCs w:val="24"/>
        </w:rPr>
        <w:t>剑</w:t>
      </w:r>
      <w:r>
        <w:rPr>
          <w:rFonts w:ascii="宋体" w:hAnsi="宋体" w:cs="宋体"/>
          <w:spacing w:val="10"/>
          <w:sz w:val="24"/>
          <w:szCs w:val="24"/>
        </w:rPr>
        <w:t xml:space="preserve">    </w:t>
      </w:r>
      <w:r>
        <w:rPr>
          <w:rFonts w:hint="eastAsia" w:ascii="宋体" w:hAnsi="宋体" w:cs="宋体"/>
          <w:spacing w:val="10"/>
          <w:sz w:val="24"/>
          <w:szCs w:val="24"/>
          <w:lang w:val="zh-CN"/>
        </w:rPr>
        <w:t>注册号：</w:t>
      </w:r>
      <w:r>
        <w:rPr>
          <w:rFonts w:ascii="宋体" w:hAnsi="宋体" w:cs="宋体"/>
          <w:spacing w:val="10"/>
          <w:sz w:val="24"/>
          <w:szCs w:val="24"/>
        </w:rPr>
        <w:t>4320130025</w:t>
      </w:r>
    </w:p>
    <w:p>
      <w:pPr>
        <w:widowControl/>
        <w:tabs>
          <w:tab w:val="left" w:pos="1596"/>
        </w:tabs>
        <w:spacing w:line="360" w:lineRule="auto"/>
        <w:ind w:firstLine="681" w:firstLineChars="261"/>
        <w:rPr>
          <w:rFonts w:ascii="宋体"/>
          <w:spacing w:val="10"/>
          <w:sz w:val="24"/>
          <w:szCs w:val="24"/>
        </w:rPr>
      </w:pPr>
      <w:r>
        <w:rPr>
          <w:rFonts w:hint="eastAsia" w:ascii="宋体" w:hAnsi="宋体" w:cs="宋体"/>
          <w:b/>
          <w:bCs/>
          <w:spacing w:val="10"/>
          <w:sz w:val="24"/>
          <w:szCs w:val="24"/>
        </w:rPr>
        <w:t>估价报告出具日期：</w:t>
      </w:r>
      <w:bookmarkStart w:id="0" w:name="OLE_LINK2"/>
      <w:bookmarkStart w:id="1" w:name="OLE_LINK1"/>
      <w:r>
        <w:rPr>
          <w:rFonts w:ascii="宋体" w:hAnsi="宋体" w:cs="宋体"/>
          <w:spacing w:val="10"/>
          <w:sz w:val="24"/>
          <w:szCs w:val="24"/>
          <w:lang w:val="zh-CN"/>
        </w:rPr>
        <w:t xml:space="preserve"> </w:t>
      </w:r>
      <w:bookmarkEnd w:id="0"/>
      <w:bookmarkEnd w:id="1"/>
      <w:r>
        <w:rPr>
          <w:rFonts w:hint="eastAsia" w:ascii="宋体" w:hAnsi="宋体" w:cs="宋体"/>
          <w:spacing w:val="10"/>
          <w:sz w:val="24"/>
          <w:szCs w:val="24"/>
          <w:lang w:val="zh-CN"/>
        </w:rPr>
        <w:t>2019年03月2</w:t>
      </w:r>
      <w:r>
        <w:rPr>
          <w:rFonts w:hint="eastAsia" w:ascii="宋体" w:hAnsi="宋体" w:cs="宋体"/>
          <w:spacing w:val="10"/>
          <w:sz w:val="24"/>
          <w:szCs w:val="24"/>
          <w:lang w:val="en-US" w:eastAsia="zh-CN"/>
        </w:rPr>
        <w:t>2</w:t>
      </w:r>
      <w:r>
        <w:rPr>
          <w:rFonts w:hint="eastAsia" w:ascii="宋体" w:hAnsi="宋体" w:cs="宋体"/>
          <w:spacing w:val="10"/>
          <w:sz w:val="24"/>
          <w:szCs w:val="24"/>
          <w:lang w:val="zh-CN"/>
        </w:rPr>
        <w:t>日</w:t>
      </w:r>
    </w:p>
    <w:p>
      <w:pPr>
        <w:widowControl/>
        <w:tabs>
          <w:tab w:val="left" w:pos="1596"/>
        </w:tabs>
        <w:spacing w:line="360" w:lineRule="auto"/>
        <w:ind w:firstLine="681" w:firstLineChars="261"/>
        <w:rPr>
          <w:rFonts w:hint="eastAsia" w:ascii="宋体" w:eastAsia="宋体"/>
          <w:spacing w:val="10"/>
          <w:sz w:val="24"/>
          <w:szCs w:val="24"/>
          <w:lang w:eastAsia="zh-CN"/>
        </w:rPr>
      </w:pPr>
      <w:r>
        <w:rPr>
          <w:rFonts w:hint="eastAsia" w:ascii="宋体" w:hAnsi="宋体" w:cs="宋体"/>
          <w:b/>
          <w:bCs/>
          <w:spacing w:val="10"/>
          <w:sz w:val="24"/>
          <w:szCs w:val="24"/>
        </w:rPr>
        <w:t>估价报告编号</w:t>
      </w:r>
      <w:r>
        <w:rPr>
          <w:rFonts w:hint="eastAsia" w:ascii="宋体" w:hAnsi="宋体" w:cs="宋体"/>
          <w:spacing w:val="10"/>
          <w:sz w:val="24"/>
          <w:szCs w:val="24"/>
        </w:rPr>
        <w:t>：</w:t>
      </w:r>
      <w:bookmarkStart w:id="2" w:name="_Toc30139"/>
      <w:r>
        <w:rPr>
          <w:rFonts w:hint="eastAsia" w:ascii="宋体" w:hAnsi="宋体" w:cs="宋体"/>
          <w:spacing w:val="10"/>
          <w:sz w:val="24"/>
          <w:szCs w:val="24"/>
          <w:highlight w:val="none"/>
          <w:lang w:eastAsia="zh-CN"/>
        </w:rPr>
        <w:t>湘经典(2019)怀房0</w:t>
      </w:r>
      <w:r>
        <w:rPr>
          <w:rFonts w:hint="eastAsia" w:ascii="宋体" w:hAnsi="宋体" w:cs="宋体"/>
          <w:spacing w:val="10"/>
          <w:sz w:val="24"/>
          <w:szCs w:val="24"/>
          <w:highlight w:val="none"/>
          <w:lang w:val="en-US" w:eastAsia="zh-CN"/>
        </w:rPr>
        <w:t>009</w:t>
      </w:r>
      <w:r>
        <w:rPr>
          <w:rFonts w:hint="eastAsia" w:ascii="宋体" w:hAnsi="宋体" w:cs="宋体"/>
          <w:spacing w:val="10"/>
          <w:sz w:val="24"/>
          <w:szCs w:val="24"/>
          <w:highlight w:val="none"/>
          <w:lang w:eastAsia="zh-CN"/>
        </w:rPr>
        <w:t>03D号</w:t>
      </w:r>
    </w:p>
    <w:p>
      <w:pPr>
        <w:widowControl/>
        <w:tabs>
          <w:tab w:val="left" w:pos="1596"/>
        </w:tabs>
        <w:spacing w:line="360" w:lineRule="auto"/>
        <w:ind w:firstLine="548" w:firstLineChars="261"/>
      </w:pPr>
    </w:p>
    <w:p>
      <w:pPr>
        <w:widowControl/>
        <w:tabs>
          <w:tab w:val="left" w:pos="1596"/>
        </w:tabs>
        <w:spacing w:line="360" w:lineRule="auto"/>
        <w:ind w:firstLine="548" w:firstLineChars="261"/>
      </w:pPr>
    </w:p>
    <w:p>
      <w:pPr>
        <w:widowControl/>
        <w:tabs>
          <w:tab w:val="left" w:pos="1596"/>
        </w:tabs>
        <w:spacing w:line="360" w:lineRule="auto"/>
        <w:ind w:firstLine="548" w:firstLineChars="261"/>
      </w:pPr>
    </w:p>
    <w:p>
      <w:pPr>
        <w:widowControl/>
        <w:tabs>
          <w:tab w:val="left" w:pos="1596"/>
        </w:tabs>
        <w:spacing w:line="360" w:lineRule="auto"/>
        <w:ind w:firstLine="548" w:firstLineChars="261"/>
      </w:pPr>
    </w:p>
    <w:p>
      <w:pPr>
        <w:widowControl/>
        <w:tabs>
          <w:tab w:val="left" w:pos="1596"/>
        </w:tabs>
        <w:spacing w:line="360" w:lineRule="auto"/>
        <w:ind w:firstLine="548" w:firstLineChars="261"/>
      </w:pPr>
    </w:p>
    <w:p>
      <w:pPr>
        <w:widowControl/>
        <w:tabs>
          <w:tab w:val="left" w:pos="1596"/>
        </w:tabs>
        <w:spacing w:line="360" w:lineRule="auto"/>
        <w:ind w:firstLine="548" w:firstLineChars="261"/>
      </w:pPr>
    </w:p>
    <w:p>
      <w:pPr>
        <w:widowControl/>
        <w:tabs>
          <w:tab w:val="left" w:pos="1596"/>
        </w:tabs>
        <w:spacing w:line="360" w:lineRule="auto"/>
        <w:ind w:firstLine="838" w:firstLineChars="261"/>
        <w:jc w:val="center"/>
        <w:rPr>
          <w:rFonts w:ascii="宋体"/>
          <w:spacing w:val="10"/>
          <w:sz w:val="24"/>
          <w:szCs w:val="24"/>
        </w:rPr>
      </w:pPr>
      <w:r>
        <w:rPr>
          <w:rFonts w:hint="eastAsia" w:ascii="黑体" w:eastAsia="黑体" w:cs="黑体"/>
          <w:b/>
          <w:bCs/>
          <w:sz w:val="32"/>
          <w:szCs w:val="32"/>
        </w:rPr>
        <w:t>致估价委托人函</w:t>
      </w:r>
      <w:bookmarkEnd w:id="2"/>
    </w:p>
    <w:p>
      <w:pPr>
        <w:jc w:val="center"/>
      </w:pPr>
    </w:p>
    <w:p>
      <w:pPr>
        <w:widowControl/>
        <w:spacing w:line="360" w:lineRule="auto"/>
        <w:rPr>
          <w:rFonts w:ascii="宋体"/>
          <w:b/>
          <w:bCs/>
          <w:spacing w:val="10"/>
          <w:sz w:val="24"/>
          <w:szCs w:val="24"/>
        </w:rPr>
      </w:pPr>
      <w:r>
        <w:rPr>
          <w:rFonts w:hint="eastAsia" w:ascii="宋体" w:hAnsi="宋体" w:cs="宋体"/>
          <w:b/>
          <w:bCs/>
          <w:spacing w:val="10"/>
          <w:sz w:val="24"/>
          <w:szCs w:val="24"/>
          <w:lang w:val="zh-CN"/>
        </w:rPr>
        <w:t>湖南省中方县人民法院</w:t>
      </w:r>
      <w:r>
        <w:rPr>
          <w:rFonts w:hint="eastAsia" w:ascii="宋体" w:hAnsi="宋体" w:cs="宋体"/>
          <w:b/>
          <w:bCs/>
          <w:spacing w:val="10"/>
          <w:sz w:val="24"/>
          <w:szCs w:val="24"/>
        </w:rPr>
        <w:t>：</w:t>
      </w:r>
    </w:p>
    <w:p>
      <w:pPr>
        <w:spacing w:line="360" w:lineRule="auto"/>
        <w:ind w:firstLine="570"/>
        <w:rPr>
          <w:rFonts w:ascii="宋体"/>
          <w:spacing w:val="10"/>
          <w:sz w:val="24"/>
          <w:szCs w:val="24"/>
        </w:rPr>
      </w:pPr>
      <w:r>
        <w:rPr>
          <w:rFonts w:hint="eastAsia" w:ascii="宋体" w:hAnsi="宋体" w:cs="宋体"/>
          <w:spacing w:val="10"/>
          <w:sz w:val="24"/>
          <w:szCs w:val="24"/>
        </w:rPr>
        <w:t>承蒙委托，我公司秉着客观、公正、科学、独立的原则，对</w:t>
      </w:r>
      <w:r>
        <w:rPr>
          <w:rFonts w:hint="eastAsia" w:ascii="宋体" w:hAnsi="宋体" w:cs="宋体"/>
          <w:spacing w:val="10"/>
          <w:sz w:val="24"/>
          <w:szCs w:val="24"/>
          <w:lang w:eastAsia="zh-CN"/>
        </w:rPr>
        <w:t>秦方</w:t>
      </w:r>
      <w:r>
        <w:rPr>
          <w:rFonts w:hint="eastAsia" w:ascii="宋体" w:hAnsi="宋体" w:cs="宋体"/>
          <w:spacing w:val="10"/>
          <w:sz w:val="24"/>
          <w:szCs w:val="24"/>
        </w:rPr>
        <w:t>所有的位于</w:t>
      </w:r>
      <w:r>
        <w:rPr>
          <w:rFonts w:hint="eastAsia" w:ascii="宋体" w:hAnsi="宋体" w:cs="宋体"/>
          <w:spacing w:val="10"/>
          <w:sz w:val="24"/>
          <w:szCs w:val="24"/>
          <w:lang w:eastAsia="zh-CN"/>
        </w:rPr>
        <w:t>湖南怀化工业园区和安家园南区01幢101号、02幢105号商业用房和</w:t>
      </w:r>
      <w:r>
        <w:rPr>
          <w:rFonts w:hint="eastAsia" w:ascii="宋体" w:hAnsi="宋体" w:cs="宋体"/>
          <w:spacing w:val="10"/>
          <w:sz w:val="24"/>
          <w:szCs w:val="24"/>
          <w:lang w:val="en-US" w:eastAsia="zh-CN"/>
        </w:rPr>
        <w:t>02幢305、306号住宅用房，以及秦军所有的02幢104号商业用房和</w:t>
      </w:r>
      <w:r>
        <w:rPr>
          <w:rFonts w:hint="eastAsia" w:ascii="宋体" w:hAnsi="宋体" w:cs="宋体"/>
          <w:spacing w:val="10"/>
          <w:sz w:val="24"/>
          <w:szCs w:val="24"/>
          <w:lang w:eastAsia="zh-CN"/>
        </w:rPr>
        <w:t>01幢305号住宅用房</w:t>
      </w:r>
      <w:r>
        <w:rPr>
          <w:rFonts w:hint="eastAsia" w:ascii="宋体" w:hAnsi="宋体" w:cs="宋体"/>
          <w:spacing w:val="10"/>
          <w:sz w:val="24"/>
          <w:szCs w:val="24"/>
        </w:rPr>
        <w:t>进行了评估。</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估价目的：为估价委托人司法办案提供参考依据，评估房地产市场价值。</w:t>
      </w:r>
    </w:p>
    <w:p>
      <w:pPr>
        <w:spacing w:line="360" w:lineRule="auto"/>
        <w:jc w:val="center"/>
        <w:rPr>
          <w:rFonts w:hint="eastAsia" w:ascii="宋体" w:hAnsi="宋体" w:cs="宋体"/>
          <w:spacing w:val="10"/>
          <w:sz w:val="24"/>
          <w:szCs w:val="24"/>
        </w:rPr>
      </w:pPr>
      <w:r>
        <w:rPr>
          <w:rFonts w:hint="eastAsia" w:ascii="宋体" w:hAnsi="宋体" w:cs="宋体"/>
          <w:spacing w:val="10"/>
          <w:sz w:val="24"/>
          <w:szCs w:val="24"/>
        </w:rPr>
        <w:t>估价对象基本情况一览表</w:t>
      </w:r>
    </w:p>
    <w:p>
      <w:pPr>
        <w:spacing w:line="360" w:lineRule="auto"/>
        <w:jc w:val="both"/>
        <w:rPr>
          <w:rFonts w:hint="eastAsia" w:ascii="宋体" w:hAnsi="宋体" w:cs="宋体"/>
          <w:spacing w:val="10"/>
          <w:sz w:val="24"/>
          <w:szCs w:val="24"/>
          <w:lang w:eastAsia="zh-CN"/>
        </w:rPr>
      </w:pPr>
      <w:r>
        <w:rPr>
          <w:rFonts w:hint="eastAsia" w:ascii="宋体" w:hAnsi="宋体" w:cs="宋体"/>
          <w:spacing w:val="10"/>
          <w:sz w:val="24"/>
          <w:szCs w:val="24"/>
          <w:lang w:eastAsia="zh-CN"/>
        </w:rPr>
        <w:t>秦方所有房屋：</w:t>
      </w:r>
    </w:p>
    <w:tbl>
      <w:tblPr>
        <w:tblStyle w:val="40"/>
        <w:tblW w:w="8648" w:type="dxa"/>
        <w:jc w:val="center"/>
        <w:tblInd w:w="0" w:type="dxa"/>
        <w:tblLayout w:type="fixed"/>
        <w:tblCellMar>
          <w:top w:w="0" w:type="dxa"/>
          <w:left w:w="108" w:type="dxa"/>
          <w:bottom w:w="0" w:type="dxa"/>
          <w:right w:w="108" w:type="dxa"/>
        </w:tblCellMar>
      </w:tblPr>
      <w:tblGrid>
        <w:gridCol w:w="534"/>
        <w:gridCol w:w="1059"/>
        <w:gridCol w:w="867"/>
        <w:gridCol w:w="867"/>
        <w:gridCol w:w="624"/>
        <w:gridCol w:w="496"/>
        <w:gridCol w:w="855"/>
        <w:gridCol w:w="858"/>
        <w:gridCol w:w="1036"/>
        <w:gridCol w:w="726"/>
        <w:gridCol w:w="726"/>
      </w:tblGrid>
      <w:tr>
        <w:tblPrEx>
          <w:tblLayout w:type="fixed"/>
          <w:tblCellMar>
            <w:top w:w="0" w:type="dxa"/>
            <w:left w:w="108" w:type="dxa"/>
            <w:bottom w:w="0" w:type="dxa"/>
            <w:right w:w="108" w:type="dxa"/>
          </w:tblCellMar>
        </w:tblPrEx>
        <w:trPr>
          <w:trHeight w:val="480"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105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86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867"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6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49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85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103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登记用途</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r>
      <w:tr>
        <w:tblPrEx>
          <w:tblLayout w:type="fixed"/>
          <w:tblCellMar>
            <w:top w:w="0" w:type="dxa"/>
            <w:left w:w="108" w:type="dxa"/>
            <w:bottom w:w="0" w:type="dxa"/>
            <w:right w:w="108" w:type="dxa"/>
          </w:tblCellMar>
        </w:tblPrEx>
        <w:trPr>
          <w:trHeight w:val="42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秦方</w:t>
            </w:r>
          </w:p>
        </w:tc>
        <w:tc>
          <w:tcPr>
            <w:tcW w:w="867"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101</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72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r>
      <w:tr>
        <w:tblPrEx>
          <w:tblLayout w:type="fixed"/>
          <w:tblCellMar>
            <w:top w:w="0" w:type="dxa"/>
            <w:left w:w="108" w:type="dxa"/>
            <w:bottom w:w="0" w:type="dxa"/>
            <w:right w:w="108" w:type="dxa"/>
          </w:tblCellMar>
        </w:tblPrEx>
        <w:trPr>
          <w:trHeight w:val="36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2</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8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商业</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3</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709000249</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8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val="en-US" w:eastAsia="zh-CN"/>
              </w:rPr>
            </w:pPr>
            <w:r>
              <w:rPr>
                <w:rFonts w:hint="eastAsia" w:ascii="宋体"/>
                <w:color w:val="000000"/>
                <w:kern w:val="0"/>
                <w:sz w:val="20"/>
                <w:szCs w:val="20"/>
                <w:lang w:val="en-US"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住宅</w:t>
            </w:r>
          </w:p>
        </w:tc>
      </w:tr>
      <w:tr>
        <w:tblPrEx>
          <w:tblLayout w:type="fixed"/>
          <w:tblCellMar>
            <w:top w:w="0" w:type="dxa"/>
            <w:left w:w="108" w:type="dxa"/>
            <w:bottom w:w="0" w:type="dxa"/>
            <w:right w:w="108" w:type="dxa"/>
          </w:tblCellMar>
        </w:tblPrEx>
        <w:trPr>
          <w:trHeight w:val="39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4</w:t>
            </w:r>
          </w:p>
        </w:tc>
        <w:tc>
          <w:tcPr>
            <w:tcW w:w="1059"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color w:val="000000"/>
                <w:kern w:val="0"/>
                <w:sz w:val="20"/>
                <w:szCs w:val="20"/>
                <w:lang w:val="en-US" w:eastAsia="zh-CN"/>
              </w:rPr>
              <w:t>709000249</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8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306</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96.53</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105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867"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867"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4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273.13</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r>
    </w:tbl>
    <w:p>
      <w:pPr>
        <w:spacing w:line="360" w:lineRule="auto"/>
        <w:jc w:val="both"/>
        <w:rPr>
          <w:rFonts w:hint="eastAsia" w:ascii="宋体" w:hAnsi="宋体" w:cs="宋体"/>
          <w:spacing w:val="10"/>
          <w:sz w:val="24"/>
          <w:szCs w:val="24"/>
          <w:lang w:eastAsia="zh-CN"/>
        </w:rPr>
      </w:pPr>
      <w:r>
        <w:rPr>
          <w:rFonts w:hint="eastAsia" w:ascii="宋体" w:hAnsi="宋体" w:cs="宋体"/>
          <w:spacing w:val="10"/>
          <w:sz w:val="24"/>
          <w:szCs w:val="24"/>
          <w:lang w:eastAsia="zh-CN"/>
        </w:rPr>
        <w:t>秦军所有房屋：</w:t>
      </w:r>
    </w:p>
    <w:tbl>
      <w:tblPr>
        <w:tblStyle w:val="40"/>
        <w:tblW w:w="8648" w:type="dxa"/>
        <w:jc w:val="center"/>
        <w:tblInd w:w="0" w:type="dxa"/>
        <w:tblLayout w:type="fixed"/>
        <w:tblCellMar>
          <w:top w:w="0" w:type="dxa"/>
          <w:left w:w="108" w:type="dxa"/>
          <w:bottom w:w="0" w:type="dxa"/>
          <w:right w:w="108" w:type="dxa"/>
        </w:tblCellMar>
      </w:tblPr>
      <w:tblGrid>
        <w:gridCol w:w="534"/>
        <w:gridCol w:w="1059"/>
        <w:gridCol w:w="867"/>
        <w:gridCol w:w="867"/>
        <w:gridCol w:w="624"/>
        <w:gridCol w:w="496"/>
        <w:gridCol w:w="855"/>
        <w:gridCol w:w="858"/>
        <w:gridCol w:w="1036"/>
        <w:gridCol w:w="726"/>
        <w:gridCol w:w="726"/>
      </w:tblGrid>
      <w:tr>
        <w:tblPrEx>
          <w:tblLayout w:type="fixed"/>
          <w:tblCellMar>
            <w:top w:w="0" w:type="dxa"/>
            <w:left w:w="108" w:type="dxa"/>
            <w:bottom w:w="0" w:type="dxa"/>
            <w:right w:w="108" w:type="dxa"/>
          </w:tblCellMar>
        </w:tblPrEx>
        <w:trPr>
          <w:trHeight w:val="480"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105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86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867"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6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49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85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103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登记用途</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r>
      <w:tr>
        <w:tblPrEx>
          <w:tblLayout w:type="fixed"/>
          <w:tblCellMar>
            <w:top w:w="0" w:type="dxa"/>
            <w:left w:w="108" w:type="dxa"/>
            <w:bottom w:w="0" w:type="dxa"/>
            <w:right w:w="108" w:type="dxa"/>
          </w:tblCellMar>
        </w:tblPrEx>
        <w:trPr>
          <w:trHeight w:val="33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1</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714000060</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867" w:type="dxa"/>
            <w:vMerge w:val="restart"/>
            <w:tcBorders>
              <w:top w:val="nil"/>
              <w:left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湖南怀化工业园区和安家园南区</w:t>
            </w: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104</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72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2</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714000061</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8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住宅</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105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867"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867"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4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136.51</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r>
    </w:tbl>
    <w:p>
      <w:pPr>
        <w:widowControl/>
        <w:spacing w:line="440" w:lineRule="exact"/>
        <w:ind w:firstLine="520" w:firstLineChars="200"/>
        <w:rPr>
          <w:rFonts w:hint="eastAsia" w:ascii="宋体" w:eastAsia="宋体"/>
          <w:spacing w:val="10"/>
          <w:sz w:val="24"/>
          <w:szCs w:val="24"/>
          <w:lang w:eastAsia="zh-CN"/>
        </w:rPr>
      </w:pPr>
      <w:r>
        <w:rPr>
          <w:rFonts w:hint="eastAsia" w:ascii="宋体" w:hAnsi="宋体" w:cs="宋体"/>
          <w:spacing w:val="10"/>
          <w:sz w:val="24"/>
          <w:szCs w:val="24"/>
        </w:rPr>
        <w:t>价值时点：</w:t>
      </w:r>
      <w:r>
        <w:rPr>
          <w:rFonts w:hint="eastAsia" w:ascii="宋体" w:hAnsi="宋体" w:cs="宋体"/>
          <w:spacing w:val="10"/>
          <w:sz w:val="24"/>
          <w:szCs w:val="24"/>
          <w:lang w:eastAsia="zh-CN"/>
        </w:rPr>
        <w:t>2019年0</w:t>
      </w:r>
      <w:r>
        <w:rPr>
          <w:rFonts w:hint="eastAsia" w:ascii="宋体" w:hAnsi="宋体" w:cs="宋体"/>
          <w:spacing w:val="10"/>
          <w:sz w:val="24"/>
          <w:szCs w:val="24"/>
          <w:lang w:val="en-US" w:eastAsia="zh-CN"/>
        </w:rPr>
        <w:t>2</w:t>
      </w:r>
      <w:r>
        <w:rPr>
          <w:rFonts w:hint="eastAsia" w:ascii="宋体" w:hAnsi="宋体" w:cs="宋体"/>
          <w:spacing w:val="10"/>
          <w:sz w:val="24"/>
          <w:szCs w:val="24"/>
          <w:lang w:eastAsia="zh-CN"/>
        </w:rPr>
        <w:t>月</w:t>
      </w:r>
      <w:r>
        <w:rPr>
          <w:rFonts w:hint="eastAsia" w:ascii="宋体" w:hAnsi="宋体" w:cs="宋体"/>
          <w:spacing w:val="10"/>
          <w:sz w:val="24"/>
          <w:szCs w:val="24"/>
          <w:lang w:val="en-US" w:eastAsia="zh-CN"/>
        </w:rPr>
        <w:t>25</w:t>
      </w:r>
      <w:r>
        <w:rPr>
          <w:rFonts w:hint="eastAsia" w:ascii="宋体" w:hAnsi="宋体" w:cs="宋体"/>
          <w:spacing w:val="10"/>
          <w:sz w:val="24"/>
          <w:szCs w:val="24"/>
          <w:lang w:eastAsia="zh-CN"/>
        </w:rPr>
        <w:t>日</w:t>
      </w:r>
    </w:p>
    <w:p>
      <w:pPr>
        <w:widowControl/>
        <w:spacing w:line="440" w:lineRule="exact"/>
        <w:ind w:firstLine="520" w:firstLineChars="200"/>
        <w:rPr>
          <w:sz w:val="24"/>
          <w:szCs w:val="24"/>
        </w:rPr>
      </w:pPr>
      <w:r>
        <w:rPr>
          <w:rFonts w:hint="eastAsia" w:ascii="宋体" w:hAnsi="宋体" w:cs="宋体"/>
          <w:spacing w:val="10"/>
          <w:sz w:val="24"/>
          <w:szCs w:val="24"/>
        </w:rPr>
        <w:t>价值类型：</w:t>
      </w:r>
      <w:r>
        <w:rPr>
          <w:rFonts w:hint="eastAsia" w:cs="宋体"/>
          <w:sz w:val="24"/>
          <w:szCs w:val="24"/>
        </w:rPr>
        <w:t>市场价值</w:t>
      </w:r>
    </w:p>
    <w:p>
      <w:pPr>
        <w:widowControl/>
        <w:spacing w:line="440" w:lineRule="exact"/>
        <w:ind w:firstLine="520" w:firstLineChars="200"/>
        <w:rPr>
          <w:rFonts w:hint="eastAsia" w:ascii="宋体" w:eastAsia="宋体"/>
          <w:spacing w:val="10"/>
          <w:sz w:val="24"/>
          <w:szCs w:val="24"/>
          <w:lang w:eastAsia="zh-CN"/>
        </w:rPr>
      </w:pPr>
      <w:r>
        <w:rPr>
          <w:rFonts w:hint="eastAsia" w:ascii="宋体" w:hAnsi="宋体" w:cs="宋体"/>
          <w:spacing w:val="10"/>
          <w:sz w:val="24"/>
          <w:szCs w:val="24"/>
        </w:rPr>
        <w:t>估价方法：</w:t>
      </w:r>
      <w:r>
        <w:rPr>
          <w:rFonts w:hint="eastAsia" w:ascii="宋体" w:hAnsi="宋体" w:cs="宋体"/>
          <w:spacing w:val="10"/>
          <w:sz w:val="24"/>
          <w:szCs w:val="24"/>
          <w:lang w:eastAsia="zh-CN"/>
        </w:rPr>
        <w:t>市场法、收益法</w:t>
      </w:r>
    </w:p>
    <w:p>
      <w:pPr>
        <w:widowControl/>
        <w:spacing w:line="440" w:lineRule="exact"/>
        <w:ind w:firstLine="480" w:firstLineChars="200"/>
        <w:rPr>
          <w:rFonts w:hint="eastAsia" w:ascii="宋体" w:hAnsi="宋体" w:cs="宋体"/>
          <w:color w:val="000000"/>
          <w:spacing w:val="10"/>
          <w:sz w:val="24"/>
          <w:szCs w:val="24"/>
        </w:rPr>
      </w:pPr>
      <w:r>
        <w:rPr>
          <w:rFonts w:hint="eastAsia" w:ascii="宋体" w:hAnsi="宋体" w:cs="宋体"/>
          <w:kern w:val="0"/>
          <w:sz w:val="24"/>
          <w:szCs w:val="24"/>
        </w:rPr>
        <w:t>本次估价，</w:t>
      </w:r>
      <w:r>
        <w:rPr>
          <w:rFonts w:hint="eastAsia" w:ascii="宋体" w:hAnsi="宋体" w:cs="宋体"/>
          <w:spacing w:val="10"/>
          <w:sz w:val="24"/>
          <w:szCs w:val="24"/>
        </w:rPr>
        <w:t>根据估价目的，遵循估价原则，采用科学合理的估价方法，在认真分析现有资料的基础上，经过测算，结合估价经验与对影响房地产市场价格因素进行分析，在估价对象未设定法定优先受偿权利下，于市场上有足够的买方和卖方，并且进入市场无障碍的条件下，</w:t>
      </w:r>
      <w:r>
        <w:rPr>
          <w:rFonts w:hint="eastAsia" w:ascii="宋体" w:hAnsi="宋体" w:cs="宋体"/>
          <w:color w:val="000000"/>
          <w:sz w:val="24"/>
          <w:szCs w:val="24"/>
        </w:rPr>
        <w:t>于价值时点的市场价值总价为</w:t>
      </w:r>
      <w:r>
        <w:rPr>
          <w:rFonts w:hint="eastAsia" w:ascii="宋体" w:hAnsi="宋体" w:cs="宋体"/>
          <w:color w:val="000000"/>
          <w:sz w:val="24"/>
          <w:szCs w:val="24"/>
          <w:lang w:eastAsia="zh-CN"/>
        </w:rPr>
        <w:t>167.6803万元</w:t>
      </w:r>
      <w:r>
        <w:rPr>
          <w:rFonts w:ascii="宋体" w:hAnsi="宋体" w:cs="宋体"/>
          <w:color w:val="000000"/>
          <w:kern w:val="0"/>
          <w:sz w:val="24"/>
          <w:szCs w:val="24"/>
        </w:rPr>
        <w:t>(</w:t>
      </w:r>
      <w:r>
        <w:rPr>
          <w:rFonts w:hint="eastAsia" w:ascii="宋体" w:hAnsi="宋体" w:cs="宋体"/>
          <w:color w:val="000000"/>
          <w:kern w:val="0"/>
          <w:sz w:val="24"/>
          <w:szCs w:val="24"/>
          <w:lang w:eastAsia="zh-CN"/>
        </w:rPr>
        <w:t>大写：人民币壹佰陆拾柒万陆仟捌佰零叁元整</w:t>
      </w:r>
      <w:r>
        <w:rPr>
          <w:rFonts w:ascii="宋体" w:hAnsi="宋体" w:cs="宋体"/>
          <w:color w:val="000000"/>
          <w:kern w:val="0"/>
          <w:sz w:val="24"/>
          <w:szCs w:val="24"/>
        </w:rPr>
        <w:t>)</w:t>
      </w:r>
      <w:r>
        <w:rPr>
          <w:rFonts w:hint="eastAsia" w:ascii="宋体" w:hAnsi="宋体" w:cs="宋体"/>
          <w:color w:val="000000"/>
          <w:spacing w:val="10"/>
          <w:sz w:val="24"/>
          <w:szCs w:val="24"/>
        </w:rPr>
        <w:t>。</w:t>
      </w:r>
    </w:p>
    <w:p>
      <w:pPr>
        <w:widowControl/>
        <w:spacing w:line="360" w:lineRule="auto"/>
        <w:ind w:firstLine="522" w:firstLineChars="200"/>
        <w:jc w:val="center"/>
        <w:rPr>
          <w:rFonts w:hint="eastAsia" w:ascii="宋体" w:hAnsi="宋体" w:cs="宋体"/>
          <w:b/>
          <w:bCs/>
          <w:color w:val="000000"/>
          <w:spacing w:val="10"/>
          <w:sz w:val="24"/>
          <w:szCs w:val="24"/>
        </w:rPr>
      </w:pPr>
      <w:r>
        <w:rPr>
          <w:rFonts w:hint="eastAsia" w:ascii="宋体" w:hAnsi="宋体" w:cs="宋体"/>
          <w:b/>
          <w:bCs/>
          <w:color w:val="000000"/>
          <w:spacing w:val="10"/>
          <w:sz w:val="24"/>
          <w:szCs w:val="24"/>
        </w:rPr>
        <w:t>估价结果汇总表</w:t>
      </w:r>
    </w:p>
    <w:tbl>
      <w:tblPr>
        <w:tblStyle w:val="40"/>
        <w:tblW w:w="8645" w:type="dxa"/>
        <w:jc w:val="center"/>
        <w:tblInd w:w="0" w:type="dxa"/>
        <w:tblLayout w:type="fixed"/>
        <w:tblCellMar>
          <w:top w:w="0" w:type="dxa"/>
          <w:left w:w="108" w:type="dxa"/>
          <w:bottom w:w="0" w:type="dxa"/>
          <w:right w:w="108" w:type="dxa"/>
        </w:tblCellMar>
      </w:tblPr>
      <w:tblGrid>
        <w:gridCol w:w="382"/>
        <w:gridCol w:w="855"/>
        <w:gridCol w:w="675"/>
        <w:gridCol w:w="675"/>
        <w:gridCol w:w="555"/>
        <w:gridCol w:w="540"/>
        <w:gridCol w:w="633"/>
        <w:gridCol w:w="699"/>
        <w:gridCol w:w="663"/>
        <w:gridCol w:w="705"/>
        <w:gridCol w:w="658"/>
        <w:gridCol w:w="747"/>
        <w:gridCol w:w="858"/>
      </w:tblGrid>
      <w:tr>
        <w:tblPrEx>
          <w:tblLayout w:type="fixed"/>
          <w:tblCellMar>
            <w:top w:w="0" w:type="dxa"/>
            <w:left w:w="108" w:type="dxa"/>
            <w:bottom w:w="0" w:type="dxa"/>
            <w:right w:w="108" w:type="dxa"/>
          </w:tblCellMar>
        </w:tblPrEx>
        <w:trPr>
          <w:trHeight w:val="480" w:hRule="atLeast"/>
          <w:jc w:val="center"/>
        </w:trPr>
        <w:tc>
          <w:tcPr>
            <w:tcW w:w="3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6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67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5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54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633"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699"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663"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70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登记用途</w:t>
            </w:r>
          </w:p>
        </w:tc>
        <w:tc>
          <w:tcPr>
            <w:tcW w:w="65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c>
          <w:tcPr>
            <w:tcW w:w="74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r>
              <w:rPr>
                <w:rFonts w:hint="eastAsia" w:ascii="宋体" w:hAnsi="宋体" w:cs="宋体"/>
                <w:kern w:val="0"/>
                <w:sz w:val="20"/>
                <w:szCs w:val="20"/>
              </w:rPr>
              <w:t>评估单价（元/㎡）</w:t>
            </w:r>
          </w:p>
        </w:tc>
        <w:tc>
          <w:tcPr>
            <w:tcW w:w="85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r>
              <w:rPr>
                <w:rFonts w:hint="eastAsia" w:ascii="宋体" w:hAnsi="宋体" w:cs="宋体"/>
                <w:kern w:val="0"/>
                <w:sz w:val="20"/>
                <w:szCs w:val="20"/>
              </w:rPr>
              <w:t>评估总价（万元）</w:t>
            </w:r>
          </w:p>
        </w:tc>
      </w:tr>
      <w:tr>
        <w:tblPrEx>
          <w:tblLayout w:type="fixed"/>
          <w:tblCellMar>
            <w:top w:w="0" w:type="dxa"/>
            <w:left w:w="108" w:type="dxa"/>
            <w:bottom w:w="0" w:type="dxa"/>
            <w:right w:w="108" w:type="dxa"/>
          </w:tblCellMar>
        </w:tblPrEx>
        <w:trPr>
          <w:trHeight w:val="420"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秦方</w:t>
            </w:r>
          </w:p>
        </w:tc>
        <w:tc>
          <w:tcPr>
            <w:tcW w:w="675"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101</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40.09</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658"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11189</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44.8567</w:t>
            </w:r>
          </w:p>
        </w:tc>
      </w:tr>
      <w:tr>
        <w:tblPrEx>
          <w:tblLayout w:type="fixed"/>
          <w:tblCellMar>
            <w:top w:w="0" w:type="dxa"/>
            <w:left w:w="108" w:type="dxa"/>
            <w:bottom w:w="0" w:type="dxa"/>
            <w:right w:w="108" w:type="dxa"/>
          </w:tblCellMar>
        </w:tblPrEx>
        <w:trPr>
          <w:trHeight w:val="330"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2</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714000060</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104</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658"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5502</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22.0575</w:t>
            </w:r>
          </w:p>
        </w:tc>
      </w:tr>
      <w:tr>
        <w:tblPrEx>
          <w:tblLayout w:type="fixed"/>
          <w:tblCellMar>
            <w:top w:w="0" w:type="dxa"/>
            <w:left w:w="108" w:type="dxa"/>
            <w:bottom w:w="0" w:type="dxa"/>
            <w:right w:w="108" w:type="dxa"/>
          </w:tblCellMar>
        </w:tblPrEx>
        <w:trPr>
          <w:trHeight w:val="360"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3</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105</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商业</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5502</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22.0575</w:t>
            </w:r>
          </w:p>
        </w:tc>
      </w:tr>
      <w:tr>
        <w:tblPrEx>
          <w:tblLayout w:type="fixed"/>
          <w:tblCellMar>
            <w:top w:w="0" w:type="dxa"/>
            <w:left w:w="108" w:type="dxa"/>
            <w:bottom w:w="0" w:type="dxa"/>
            <w:right w:w="108" w:type="dxa"/>
          </w:tblCellMar>
        </w:tblPrEx>
        <w:trPr>
          <w:trHeight w:val="375"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4</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714000061</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住宅</w:t>
            </w: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26.2262</w:t>
            </w:r>
          </w:p>
        </w:tc>
      </w:tr>
      <w:tr>
        <w:tblPrEx>
          <w:tblLayout w:type="fixed"/>
          <w:tblCellMar>
            <w:top w:w="0" w:type="dxa"/>
            <w:left w:w="108" w:type="dxa"/>
            <w:bottom w:w="0" w:type="dxa"/>
            <w:right w:w="108" w:type="dxa"/>
          </w:tblCellMar>
        </w:tblPrEx>
        <w:trPr>
          <w:trHeight w:val="375"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5</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709000249</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val="en-US" w:eastAsia="zh-CN"/>
              </w:rPr>
            </w:pPr>
            <w:r>
              <w:rPr>
                <w:rFonts w:hint="eastAsia" w:ascii="宋体"/>
                <w:color w:val="000000"/>
                <w:kern w:val="0"/>
                <w:sz w:val="20"/>
                <w:szCs w:val="20"/>
                <w:lang w:val="en-US" w:eastAsia="zh-CN"/>
              </w:rPr>
              <w:t>综合</w:t>
            </w: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住宅</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26.2262</w:t>
            </w:r>
          </w:p>
        </w:tc>
      </w:tr>
      <w:tr>
        <w:tblPrEx>
          <w:tblLayout w:type="fixed"/>
          <w:tblCellMar>
            <w:top w:w="0" w:type="dxa"/>
            <w:left w:w="108" w:type="dxa"/>
            <w:bottom w:w="0" w:type="dxa"/>
            <w:right w:w="108" w:type="dxa"/>
          </w:tblCellMar>
        </w:tblPrEx>
        <w:trPr>
          <w:trHeight w:val="390"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6</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color w:val="000000"/>
                <w:kern w:val="0"/>
                <w:sz w:val="20"/>
                <w:szCs w:val="20"/>
                <w:lang w:val="en-US" w:eastAsia="zh-CN"/>
              </w:rPr>
              <w:t>709000249</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306</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96.53</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26.2562</w:t>
            </w:r>
          </w:p>
        </w:tc>
      </w:tr>
      <w:tr>
        <w:tblPrEx>
          <w:tblLayout w:type="fixed"/>
          <w:tblCellMar>
            <w:top w:w="0" w:type="dxa"/>
            <w:left w:w="108" w:type="dxa"/>
            <w:bottom w:w="0" w:type="dxa"/>
            <w:right w:w="108" w:type="dxa"/>
          </w:tblCellMar>
        </w:tblPrEx>
        <w:trPr>
          <w:trHeight w:val="375"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675"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75"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54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633"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409.64</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167.6803</w:t>
            </w:r>
          </w:p>
        </w:tc>
      </w:tr>
    </w:tbl>
    <w:p>
      <w:pPr>
        <w:widowControl/>
        <w:spacing w:line="440" w:lineRule="exact"/>
        <w:ind w:firstLine="462" w:firstLineChars="200"/>
        <w:rPr>
          <w:rFonts w:ascii="宋体"/>
          <w:b/>
          <w:bCs/>
          <w:spacing w:val="10"/>
        </w:rPr>
      </w:pPr>
      <w:r>
        <w:rPr>
          <w:rFonts w:hint="eastAsia" w:ascii="宋体" w:hAnsi="宋体" w:cs="宋体"/>
          <w:b/>
          <w:bCs/>
          <w:spacing w:val="10"/>
        </w:rPr>
        <w:t>备注：</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425" w:leftChars="0"/>
        <w:textAlignment w:val="auto"/>
        <w:rPr>
          <w:rFonts w:hint="eastAsia" w:ascii="宋体" w:eastAsia="宋体"/>
          <w:lang w:eastAsia="zh-CN"/>
        </w:rPr>
      </w:pPr>
      <w:r>
        <w:rPr>
          <w:rFonts w:hint="eastAsia" w:ascii="宋体" w:hAnsi="宋体" w:cs="宋体"/>
          <w:lang w:val="en-US" w:eastAsia="zh-CN"/>
        </w:rPr>
        <w:t>1.</w:t>
      </w:r>
      <w:r>
        <w:rPr>
          <w:rFonts w:hint="eastAsia" w:ascii="宋体" w:hAnsi="宋体" w:cs="宋体"/>
        </w:rPr>
        <w:t>估价委托人仅提供估价对象</w:t>
      </w:r>
      <w:r>
        <w:rPr>
          <w:rFonts w:hint="eastAsia" w:ascii="宋体" w:hAnsi="宋体" w:cs="宋体"/>
          <w:lang w:eastAsia="zh-CN"/>
        </w:rPr>
        <w:t>房屋他项权证</w:t>
      </w:r>
      <w:r>
        <w:rPr>
          <w:rFonts w:hint="eastAsia" w:ascii="宋体" w:hAnsi="宋体" w:cs="宋体"/>
        </w:rPr>
        <w:t>、</w:t>
      </w:r>
      <w:r>
        <w:rPr>
          <w:rFonts w:hint="eastAsia" w:ascii="宋体" w:hAnsi="宋体" w:cs="宋体"/>
          <w:lang w:eastAsia="zh-CN"/>
        </w:rPr>
        <w:t>房屋产权情况</w:t>
      </w:r>
      <w:r>
        <w:rPr>
          <w:rFonts w:hint="eastAsia" w:ascii="宋体" w:hAnsi="宋体" w:cs="宋体"/>
        </w:rPr>
        <w:t>及</w:t>
      </w:r>
      <w:r>
        <w:rPr>
          <w:rFonts w:hint="eastAsia" w:ascii="宋体" w:hAnsi="宋体" w:cs="宋体"/>
          <w:lang w:eastAsia="zh-CN"/>
        </w:rPr>
        <w:t>怀化高新技术产业开发区出具的房屋分户平面图</w:t>
      </w:r>
      <w:r>
        <w:rPr>
          <w:rFonts w:hint="eastAsia" w:ascii="宋体" w:hAnsi="宋体" w:cs="宋体"/>
        </w:rPr>
        <w:t>，估价对象房屋尚未</w:t>
      </w:r>
      <w:r>
        <w:rPr>
          <w:rFonts w:hint="eastAsia" w:ascii="宋体" w:hAnsi="宋体" w:cs="宋体"/>
          <w:lang w:eastAsia="zh-CN"/>
        </w:rPr>
        <w:t>提供不动产权证</w:t>
      </w:r>
      <w:r>
        <w:rPr>
          <w:rFonts w:hint="eastAsia" w:ascii="宋体" w:hAnsi="宋体" w:cs="宋体"/>
        </w:rPr>
        <w:t>，本次评估以估价对象能</w:t>
      </w:r>
      <w:r>
        <w:rPr>
          <w:rFonts w:hint="eastAsia" w:ascii="宋体" w:hAnsi="宋体" w:cs="宋体"/>
          <w:lang w:eastAsia="zh-CN"/>
        </w:rPr>
        <w:t>取得完整有效的</w:t>
      </w:r>
      <w:r>
        <w:rPr>
          <w:rFonts w:hint="eastAsia" w:ascii="宋体" w:hAnsi="宋体" w:cs="宋体"/>
        </w:rPr>
        <w:t>合法产权为</w:t>
      </w:r>
      <w:r>
        <w:rPr>
          <w:rFonts w:hint="eastAsia" w:ascii="宋体" w:hAnsi="宋体" w:cs="宋体"/>
          <w:lang w:eastAsia="zh-CN"/>
        </w:rPr>
        <w:t>估价</w:t>
      </w:r>
      <w:r>
        <w:rPr>
          <w:rFonts w:hint="eastAsia" w:ascii="宋体" w:hAnsi="宋体" w:cs="宋体"/>
        </w:rPr>
        <w:t>前提</w:t>
      </w:r>
      <w:r>
        <w:rPr>
          <w:rFonts w:hint="eastAsia" w:ascii="宋体" w:hAnsi="宋体" w:cs="宋体"/>
          <w:lang w:eastAsia="zh-CN"/>
        </w:rPr>
        <w:t>，本次评估假设估价对象为出让土地。</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425" w:leftChars="0"/>
        <w:textAlignment w:val="auto"/>
        <w:rPr>
          <w:rFonts w:hint="eastAsia" w:ascii="宋体" w:hAnsi="宋体" w:cs="宋体"/>
          <w:lang w:val="en-US" w:eastAsia="zh-CN"/>
        </w:rPr>
      </w:pPr>
      <w:r>
        <w:rPr>
          <w:rFonts w:hint="eastAsia" w:ascii="宋体" w:hAnsi="宋体" w:cs="宋体"/>
          <w:lang w:val="en-US" w:eastAsia="zh-CN"/>
        </w:rPr>
        <w:t>2.本报告仅适用于委托方司法办案而了解房地产市场价值提供价值参考。</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425" w:leftChars="0"/>
        <w:textAlignment w:val="auto"/>
        <w:rPr>
          <w:rFonts w:hint="eastAsia" w:ascii="宋体" w:hAnsi="宋体" w:cs="宋体"/>
          <w:lang w:val="en-US" w:eastAsia="zh-CN"/>
        </w:rPr>
      </w:pPr>
      <w:r>
        <w:rPr>
          <w:rFonts w:hint="eastAsia" w:ascii="宋体" w:hAnsi="宋体" w:cs="宋体"/>
          <w:lang w:val="en-US" w:eastAsia="zh-CN"/>
        </w:rPr>
        <w:t>3.本次评估对估价对象外勘之前已通知双方当事人，外勘是在申请人和无利害关系法官申伟的陪同下进行现场查勘，被执行人未配合到现场，故无法对02幢305、306号住宅进行室内查勘，对已出租的门面及01幢305号住宅(秦军的妻子已到现场）进行现场查勘，02幢305、306号住宅室内装饰装修参照已现场查勘的01幢305号住宅。</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425" w:leftChars="0"/>
        <w:textAlignment w:val="auto"/>
        <w:rPr>
          <w:rFonts w:hint="eastAsia" w:ascii="宋体" w:hAnsi="宋体" w:cs="宋体"/>
          <w:lang w:val="en-US" w:eastAsia="zh-CN"/>
        </w:rPr>
      </w:pPr>
      <w:r>
        <w:rPr>
          <w:rFonts w:hint="eastAsia" w:ascii="宋体" w:hAnsi="宋体" w:cs="宋体"/>
          <w:lang w:val="en-US" w:eastAsia="zh-CN"/>
        </w:rPr>
        <w:t>4.本次估价的估价范围为：估价对象房屋（含室内装修）及其占用范围内的土地。</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425" w:leftChars="0"/>
        <w:textAlignment w:val="auto"/>
        <w:rPr>
          <w:rFonts w:hint="eastAsia" w:ascii="宋体" w:hAnsi="宋体" w:cs="宋体"/>
          <w:lang w:val="en-US" w:eastAsia="zh-CN"/>
        </w:rPr>
      </w:pPr>
      <w:r>
        <w:rPr>
          <w:rFonts w:hint="eastAsia" w:ascii="宋体" w:hAnsi="宋体" w:cs="宋体"/>
          <w:lang w:val="en-US" w:eastAsia="zh-CN"/>
        </w:rPr>
        <w:t>5.当事人接到本报告书次日起10日内，如对评估结果有异议，应书面提出并提</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425" w:leftChars="0"/>
        <w:textAlignment w:val="auto"/>
        <w:rPr>
          <w:rFonts w:hint="eastAsia" w:ascii="宋体" w:hAnsi="宋体" w:cs="宋体"/>
          <w:lang w:val="en-US" w:eastAsia="zh-CN"/>
        </w:rPr>
      </w:pPr>
      <w:r>
        <w:rPr>
          <w:rFonts w:hint="eastAsia" w:ascii="宋体" w:hAnsi="宋体" w:cs="宋体"/>
          <w:lang w:val="en-US" w:eastAsia="zh-CN"/>
        </w:rPr>
        <w:t>交相应依据，逾期不提出，本评估报告生效。</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425" w:leftChars="0"/>
        <w:textAlignment w:val="auto"/>
        <w:rPr>
          <w:rFonts w:hint="default" w:ascii="宋体" w:hAnsi="宋体" w:cs="宋体"/>
          <w:lang w:val="en-US" w:eastAsia="zh-CN"/>
        </w:rPr>
      </w:pPr>
      <w:r>
        <w:rPr>
          <w:rFonts w:hint="eastAsia" w:ascii="宋体" w:hAnsi="宋体" w:cs="宋体"/>
          <w:lang w:val="en-US" w:eastAsia="zh-CN"/>
        </w:rPr>
        <w:t>6.根据估价委托人的通知所示，现被执行人秦继凤与申请执行人谢春华已达成执行和解协议并履行完毕，故撤销对秦继凤所有的房屋进行评估。</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425" w:leftChars="0"/>
        <w:textAlignment w:val="auto"/>
        <w:rPr>
          <w:rFonts w:hint="eastAsia" w:eastAsia="宋体"/>
          <w:b/>
          <w:bCs/>
          <w:lang w:val="en-US" w:eastAsia="zh-CN"/>
        </w:rPr>
      </w:pPr>
    </w:p>
    <w:p>
      <w:pPr>
        <w:widowControl/>
        <w:spacing w:line="480" w:lineRule="auto"/>
        <w:ind w:firstLine="522" w:firstLineChars="200"/>
        <w:jc w:val="right"/>
        <w:rPr>
          <w:rFonts w:hint="eastAsia" w:ascii="宋体" w:hAnsi="宋体" w:cs="宋体"/>
          <w:b/>
          <w:bCs/>
          <w:spacing w:val="10"/>
          <w:sz w:val="24"/>
          <w:szCs w:val="24"/>
        </w:rPr>
      </w:pPr>
    </w:p>
    <w:p>
      <w:pPr>
        <w:widowControl/>
        <w:spacing w:line="480" w:lineRule="auto"/>
        <w:ind w:firstLine="522" w:firstLineChars="200"/>
        <w:jc w:val="right"/>
        <w:rPr>
          <w:rFonts w:ascii="宋体"/>
          <w:b/>
          <w:bCs/>
          <w:spacing w:val="10"/>
          <w:sz w:val="24"/>
          <w:szCs w:val="24"/>
        </w:rPr>
      </w:pPr>
      <w:r>
        <w:rPr>
          <w:rFonts w:hint="eastAsia" w:ascii="宋体" w:hAnsi="宋体" w:cs="宋体"/>
          <w:b/>
          <w:bCs/>
          <w:spacing w:val="10"/>
          <w:sz w:val="24"/>
          <w:szCs w:val="24"/>
        </w:rPr>
        <w:t>湖南经典房地产评估咨询有限公司</w:t>
      </w:r>
    </w:p>
    <w:p>
      <w:pPr>
        <w:widowControl/>
        <w:spacing w:line="480" w:lineRule="auto"/>
        <w:ind w:right="520" w:firstLine="5480" w:firstLineChars="2100"/>
        <w:rPr>
          <w:rFonts w:ascii="宋体"/>
          <w:b/>
          <w:bCs/>
          <w:spacing w:val="10"/>
          <w:sz w:val="24"/>
          <w:szCs w:val="24"/>
        </w:rPr>
      </w:pPr>
      <w:r>
        <w:rPr>
          <w:rFonts w:hint="eastAsia" w:ascii="宋体" w:hAnsi="宋体" w:cs="宋体"/>
          <w:b/>
          <w:bCs/>
          <w:spacing w:val="10"/>
          <w:sz w:val="24"/>
          <w:szCs w:val="24"/>
        </w:rPr>
        <w:t>法定代表人：</w:t>
      </w:r>
    </w:p>
    <w:p>
      <w:pPr>
        <w:widowControl/>
        <w:spacing w:line="480" w:lineRule="auto"/>
        <w:ind w:left="4849" w:leftChars="2309" w:right="46" w:firstLine="361" w:firstLineChars="150"/>
        <w:rPr>
          <w:rFonts w:ascii="宋体"/>
          <w:b/>
          <w:bCs/>
          <w:sz w:val="24"/>
          <w:szCs w:val="24"/>
        </w:rPr>
      </w:pPr>
      <w:r>
        <w:rPr>
          <w:rFonts w:hint="eastAsia" w:ascii="Tahoma" w:hAnsi="Tahoma" w:cs="宋体"/>
          <w:b/>
          <w:bCs/>
          <w:kern w:val="0"/>
          <w:sz w:val="24"/>
          <w:szCs w:val="24"/>
        </w:rPr>
        <w:t>二〇一</w:t>
      </w:r>
      <w:r>
        <w:rPr>
          <w:rFonts w:hint="eastAsia" w:ascii="Tahoma" w:hAnsi="Tahoma" w:cs="宋体"/>
          <w:b/>
          <w:bCs/>
          <w:kern w:val="0"/>
          <w:sz w:val="24"/>
          <w:szCs w:val="24"/>
          <w:lang w:eastAsia="zh-CN"/>
        </w:rPr>
        <w:t>九</w:t>
      </w:r>
      <w:r>
        <w:rPr>
          <w:rFonts w:hint="eastAsia" w:ascii="Tahoma" w:hAnsi="Tahoma" w:cs="宋体"/>
          <w:b/>
          <w:bCs/>
          <w:kern w:val="0"/>
          <w:sz w:val="24"/>
          <w:szCs w:val="24"/>
        </w:rPr>
        <w:t>年</w:t>
      </w:r>
      <w:r>
        <w:rPr>
          <w:rFonts w:hint="eastAsia" w:ascii="Tahoma" w:hAnsi="Tahoma" w:cs="宋体"/>
          <w:b/>
          <w:bCs/>
          <w:kern w:val="0"/>
          <w:sz w:val="24"/>
          <w:szCs w:val="24"/>
          <w:lang w:eastAsia="zh-CN"/>
        </w:rPr>
        <w:t>三</w:t>
      </w:r>
      <w:r>
        <w:rPr>
          <w:rFonts w:hint="eastAsia" w:ascii="Tahoma" w:hAnsi="Tahoma" w:cs="宋体"/>
          <w:b/>
          <w:bCs/>
          <w:kern w:val="0"/>
          <w:sz w:val="24"/>
          <w:szCs w:val="24"/>
        </w:rPr>
        <w:t>月</w:t>
      </w:r>
      <w:r>
        <w:rPr>
          <w:rFonts w:hint="eastAsia" w:ascii="Tahoma" w:hAnsi="Tahoma" w:cs="宋体"/>
          <w:b/>
          <w:bCs/>
          <w:kern w:val="0"/>
          <w:sz w:val="24"/>
          <w:szCs w:val="24"/>
          <w:lang w:eastAsia="zh-CN"/>
        </w:rPr>
        <w:t>二十二</w:t>
      </w:r>
      <w:r>
        <w:rPr>
          <w:rFonts w:hint="eastAsia" w:ascii="Tahoma" w:hAnsi="Tahoma" w:cs="宋体"/>
          <w:b/>
          <w:bCs/>
          <w:kern w:val="0"/>
          <w:sz w:val="24"/>
          <w:szCs w:val="24"/>
        </w:rPr>
        <w:t>日</w:t>
      </w:r>
      <w:r>
        <w:rPr>
          <w:rFonts w:ascii="宋体"/>
          <w:b/>
          <w:bCs/>
          <w:spacing w:val="10"/>
          <w:sz w:val="24"/>
          <w:szCs w:val="24"/>
        </w:rPr>
        <w:br w:type="page"/>
      </w:r>
    </w:p>
    <w:p>
      <w:pPr>
        <w:pStyle w:val="56"/>
        <w:spacing w:before="0" w:line="360" w:lineRule="auto"/>
        <w:jc w:val="center"/>
        <w:rPr>
          <w:rFonts w:ascii="黑体" w:hAnsi="黑体" w:eastAsia="黑体" w:cs="Times New Roman"/>
          <w:color w:val="auto"/>
          <w:sz w:val="32"/>
          <w:szCs w:val="32"/>
          <w:lang w:val="zh-CN"/>
        </w:rPr>
      </w:pPr>
      <w:bookmarkStart w:id="3" w:name="_Toc12177"/>
      <w:bookmarkStart w:id="4" w:name="_Toc319660472"/>
    </w:p>
    <w:p>
      <w:pPr>
        <w:pStyle w:val="56"/>
        <w:spacing w:before="0" w:line="360" w:lineRule="auto"/>
        <w:jc w:val="center"/>
        <w:rPr>
          <w:rFonts w:cs="Times New Roman"/>
          <w:color w:val="auto"/>
        </w:rPr>
      </w:pPr>
      <w:r>
        <w:rPr>
          <w:rFonts w:hint="eastAsia" w:ascii="黑体" w:hAnsi="黑体" w:eastAsia="黑体" w:cs="黑体"/>
          <w:color w:val="auto"/>
          <w:sz w:val="32"/>
          <w:szCs w:val="32"/>
          <w:lang w:val="zh-CN"/>
        </w:rPr>
        <w:t>目录</w:t>
      </w:r>
    </w:p>
    <w:p>
      <w:pPr>
        <w:widowControl/>
        <w:numPr>
          <w:ilvl w:val="0"/>
          <w:numId w:val="3"/>
        </w:numPr>
        <w:tabs>
          <w:tab w:val="left" w:pos="3150"/>
          <w:tab w:val="center" w:pos="3713"/>
          <w:tab w:val="left" w:pos="4935"/>
          <w:tab w:val="right" w:leader="dot" w:pos="8400"/>
        </w:tabs>
        <w:spacing w:line="360" w:lineRule="auto"/>
        <w:rPr>
          <w:rFonts w:ascii="宋体"/>
          <w:sz w:val="24"/>
          <w:szCs w:val="24"/>
        </w:rPr>
      </w:pPr>
      <w:r>
        <w:rPr>
          <w:rFonts w:hint="eastAsia" w:ascii="宋体" w:hAnsi="宋体" w:cs="宋体"/>
          <w:sz w:val="24"/>
          <w:szCs w:val="24"/>
        </w:rPr>
        <w:t>估价师声明</w:t>
      </w:r>
      <w:r>
        <w:rPr>
          <w:rFonts w:ascii="宋体" w:hAnsi="宋体" w:cs="宋体"/>
          <w:sz w:val="24"/>
          <w:szCs w:val="24"/>
        </w:rPr>
        <w:t>....................................................</w:t>
      </w:r>
      <w:r>
        <w:rPr>
          <w:rFonts w:hint="eastAsia" w:ascii="宋体" w:hAnsi="宋体" w:cs="宋体"/>
          <w:sz w:val="24"/>
          <w:szCs w:val="24"/>
          <w:lang w:val="en-US" w:eastAsia="zh-CN"/>
        </w:rPr>
        <w:t>5</w:t>
      </w:r>
    </w:p>
    <w:p>
      <w:pPr>
        <w:widowControl/>
        <w:numPr>
          <w:ilvl w:val="0"/>
          <w:numId w:val="3"/>
        </w:numPr>
        <w:tabs>
          <w:tab w:val="left" w:pos="3150"/>
          <w:tab w:val="center" w:pos="3713"/>
          <w:tab w:val="left" w:pos="4935"/>
          <w:tab w:val="right" w:leader="dot" w:pos="8400"/>
        </w:tabs>
        <w:spacing w:line="360" w:lineRule="auto"/>
        <w:rPr>
          <w:rFonts w:ascii="宋体"/>
          <w:sz w:val="24"/>
          <w:szCs w:val="24"/>
        </w:rPr>
      </w:pPr>
      <w:r>
        <w:rPr>
          <w:rFonts w:hint="eastAsia" w:ascii="宋体" w:hAnsi="宋体" w:cs="宋体"/>
          <w:sz w:val="24"/>
          <w:szCs w:val="24"/>
        </w:rPr>
        <w:t>估价假设和限制条件</w:t>
      </w:r>
      <w:r>
        <w:rPr>
          <w:rFonts w:ascii="宋体" w:hAnsi="宋体" w:cs="宋体"/>
          <w:sz w:val="24"/>
          <w:szCs w:val="24"/>
        </w:rPr>
        <w:t>............................................</w:t>
      </w:r>
      <w:r>
        <w:rPr>
          <w:rFonts w:hint="eastAsia" w:ascii="宋体" w:hAnsi="宋体" w:cs="宋体"/>
          <w:sz w:val="24"/>
          <w:szCs w:val="24"/>
          <w:lang w:val="en-US" w:eastAsia="zh-CN"/>
        </w:rPr>
        <w:t>6</w:t>
      </w:r>
    </w:p>
    <w:p>
      <w:pPr>
        <w:widowControl/>
        <w:numPr>
          <w:ilvl w:val="0"/>
          <w:numId w:val="3"/>
        </w:numPr>
        <w:tabs>
          <w:tab w:val="left" w:pos="3150"/>
          <w:tab w:val="center" w:pos="3713"/>
          <w:tab w:val="left" w:pos="4935"/>
          <w:tab w:val="right" w:leader="dot" w:pos="8400"/>
        </w:tabs>
        <w:spacing w:line="360" w:lineRule="auto"/>
        <w:rPr>
          <w:rFonts w:ascii="宋体"/>
          <w:sz w:val="24"/>
          <w:szCs w:val="24"/>
        </w:rPr>
      </w:pPr>
      <w:r>
        <w:rPr>
          <w:rFonts w:hint="eastAsia" w:ascii="宋体" w:hAnsi="宋体" w:cs="宋体"/>
          <w:sz w:val="24"/>
          <w:szCs w:val="24"/>
        </w:rPr>
        <w:t>估价结果报告</w:t>
      </w:r>
      <w:r>
        <w:rPr>
          <w:rFonts w:ascii="宋体" w:hAnsi="宋体" w:cs="宋体"/>
          <w:sz w:val="24"/>
          <w:szCs w:val="24"/>
        </w:rPr>
        <w:t>..................................................8</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1.</w:t>
      </w:r>
      <w:r>
        <w:rPr>
          <w:rFonts w:hint="eastAsia" w:ascii="宋体" w:hAnsi="宋体" w:cs="宋体"/>
          <w:sz w:val="24"/>
          <w:szCs w:val="24"/>
        </w:rPr>
        <w:t>估价委托人</w:t>
      </w:r>
      <w:r>
        <w:rPr>
          <w:rFonts w:ascii="宋体" w:hAnsi="宋体" w:cs="宋体"/>
          <w:sz w:val="24"/>
          <w:szCs w:val="24"/>
        </w:rPr>
        <w:t>.................................................8</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2.</w:t>
      </w:r>
      <w:r>
        <w:rPr>
          <w:rFonts w:hint="eastAsia" w:ascii="宋体" w:hAnsi="宋体" w:cs="宋体"/>
          <w:sz w:val="24"/>
          <w:szCs w:val="24"/>
        </w:rPr>
        <w:t>房地产估价机构</w:t>
      </w:r>
      <w:r>
        <w:rPr>
          <w:rFonts w:ascii="宋体" w:hAnsi="宋体" w:cs="宋体"/>
          <w:sz w:val="24"/>
          <w:szCs w:val="24"/>
        </w:rPr>
        <w:t>.............................................8</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3.</w:t>
      </w:r>
      <w:r>
        <w:rPr>
          <w:rFonts w:hint="eastAsia" w:ascii="宋体" w:hAnsi="宋体" w:cs="宋体"/>
          <w:sz w:val="24"/>
          <w:szCs w:val="24"/>
        </w:rPr>
        <w:t>估价目的</w:t>
      </w:r>
      <w:r>
        <w:rPr>
          <w:rFonts w:ascii="宋体" w:hAnsi="宋体" w:cs="宋体"/>
          <w:sz w:val="24"/>
          <w:szCs w:val="24"/>
        </w:rPr>
        <w:t>...................................................8</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4.</w:t>
      </w:r>
      <w:r>
        <w:rPr>
          <w:rFonts w:hint="eastAsia" w:ascii="宋体" w:hAnsi="宋体" w:cs="宋体"/>
          <w:sz w:val="24"/>
          <w:szCs w:val="24"/>
        </w:rPr>
        <w:t>估价对象</w:t>
      </w:r>
      <w:r>
        <w:rPr>
          <w:rFonts w:ascii="宋体" w:cs="宋体"/>
          <w:sz w:val="24"/>
          <w:szCs w:val="24"/>
        </w:rPr>
        <w:t>.....</w:t>
      </w:r>
      <w:r>
        <w:rPr>
          <w:rFonts w:ascii="宋体" w:hAnsi="宋体" w:cs="宋体"/>
          <w:sz w:val="24"/>
          <w:szCs w:val="24"/>
        </w:rPr>
        <w:t>..............................................8</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5.</w:t>
      </w:r>
      <w:r>
        <w:rPr>
          <w:rFonts w:hint="eastAsia" w:ascii="宋体" w:hAnsi="宋体" w:cs="宋体"/>
          <w:sz w:val="24"/>
          <w:szCs w:val="24"/>
        </w:rPr>
        <w:t>价值时点</w:t>
      </w:r>
      <w:r>
        <w:rPr>
          <w:rFonts w:ascii="宋体" w:cs="宋体"/>
          <w:sz w:val="24"/>
          <w:szCs w:val="24"/>
        </w:rPr>
        <w:t>.....</w:t>
      </w:r>
      <w:r>
        <w:rPr>
          <w:rFonts w:ascii="宋体" w:hAnsi="宋体" w:cs="宋体"/>
          <w:sz w:val="24"/>
          <w:szCs w:val="24"/>
        </w:rPr>
        <w:t>.............................................10</w:t>
      </w:r>
    </w:p>
    <w:p>
      <w:pPr>
        <w:widowControl/>
        <w:tabs>
          <w:tab w:val="left" w:pos="3150"/>
          <w:tab w:val="center" w:pos="3713"/>
          <w:tab w:val="left" w:pos="4935"/>
          <w:tab w:val="right" w:leader="dot" w:pos="8400"/>
        </w:tabs>
        <w:spacing w:line="360" w:lineRule="auto"/>
        <w:rPr>
          <w:rFonts w:hint="eastAsia" w:ascii="宋体"/>
          <w:sz w:val="24"/>
          <w:szCs w:val="24"/>
        </w:rPr>
      </w:pPr>
      <w:r>
        <w:rPr>
          <w:rFonts w:ascii="宋体" w:hAnsi="宋体" w:cs="宋体"/>
          <w:sz w:val="24"/>
          <w:szCs w:val="24"/>
        </w:rPr>
        <w:t xml:space="preserve">     6.</w:t>
      </w:r>
      <w:r>
        <w:rPr>
          <w:rFonts w:hint="eastAsia" w:ascii="宋体" w:hAnsi="宋体" w:cs="宋体"/>
          <w:sz w:val="24"/>
          <w:szCs w:val="24"/>
        </w:rPr>
        <w:t>价值类型</w:t>
      </w:r>
      <w:r>
        <w:rPr>
          <w:rFonts w:ascii="宋体" w:cs="宋体"/>
          <w:sz w:val="24"/>
          <w:szCs w:val="24"/>
        </w:rPr>
        <w:t>......</w:t>
      </w:r>
      <w:r>
        <w:rPr>
          <w:rFonts w:ascii="宋体" w:hAnsi="宋体" w:cs="宋体"/>
          <w:sz w:val="24"/>
          <w:szCs w:val="24"/>
        </w:rPr>
        <w:t>............................................1</w:t>
      </w:r>
      <w:r>
        <w:rPr>
          <w:rFonts w:hint="eastAsia" w:ascii="宋体" w:hAnsi="宋体" w:cs="宋体"/>
          <w:sz w:val="24"/>
          <w:szCs w:val="24"/>
        </w:rPr>
        <w:t>0</w:t>
      </w:r>
    </w:p>
    <w:p>
      <w:pPr>
        <w:widowControl/>
        <w:tabs>
          <w:tab w:val="left" w:pos="3150"/>
          <w:tab w:val="center" w:pos="3713"/>
          <w:tab w:val="left" w:pos="4935"/>
          <w:tab w:val="right" w:leader="dot" w:pos="8400"/>
        </w:tabs>
        <w:spacing w:line="360" w:lineRule="auto"/>
        <w:rPr>
          <w:rFonts w:hint="eastAsia" w:ascii="宋体"/>
          <w:sz w:val="24"/>
          <w:szCs w:val="24"/>
        </w:rPr>
      </w:pPr>
      <w:r>
        <w:rPr>
          <w:rFonts w:ascii="宋体" w:hAnsi="宋体" w:cs="宋体"/>
          <w:sz w:val="24"/>
          <w:szCs w:val="24"/>
        </w:rPr>
        <w:t xml:space="preserve">     7.</w:t>
      </w:r>
      <w:r>
        <w:rPr>
          <w:rFonts w:hint="eastAsia" w:ascii="宋体" w:hAnsi="宋体" w:cs="宋体"/>
          <w:sz w:val="24"/>
          <w:szCs w:val="24"/>
        </w:rPr>
        <w:t>估价原则</w:t>
      </w:r>
      <w:r>
        <w:rPr>
          <w:rFonts w:ascii="宋体" w:hAnsi="宋体" w:cs="宋体"/>
          <w:sz w:val="24"/>
          <w:szCs w:val="24"/>
        </w:rPr>
        <w:t>..................................................1</w:t>
      </w:r>
      <w:r>
        <w:rPr>
          <w:rFonts w:hint="eastAsia" w:ascii="宋体" w:hAnsi="宋体" w:cs="宋体"/>
          <w:sz w:val="24"/>
          <w:szCs w:val="24"/>
        </w:rPr>
        <w:t>0</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8.</w:t>
      </w:r>
      <w:r>
        <w:rPr>
          <w:rFonts w:hint="eastAsia" w:ascii="宋体" w:hAnsi="宋体" w:cs="宋体"/>
          <w:sz w:val="24"/>
          <w:szCs w:val="24"/>
        </w:rPr>
        <w:t>估价依据</w:t>
      </w:r>
      <w:r>
        <w:rPr>
          <w:rFonts w:ascii="宋体" w:cs="宋体"/>
          <w:sz w:val="24"/>
          <w:szCs w:val="24"/>
        </w:rPr>
        <w:t>.....</w:t>
      </w:r>
      <w:r>
        <w:rPr>
          <w:rFonts w:ascii="宋体" w:hAnsi="宋体" w:cs="宋体"/>
          <w:sz w:val="24"/>
          <w:szCs w:val="24"/>
        </w:rPr>
        <w:t>.............................................11</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9.</w:t>
      </w:r>
      <w:r>
        <w:rPr>
          <w:rFonts w:hint="eastAsia" w:ascii="宋体" w:hAnsi="宋体" w:cs="宋体"/>
          <w:sz w:val="24"/>
          <w:szCs w:val="24"/>
        </w:rPr>
        <w:t>估价方法</w:t>
      </w:r>
      <w:r>
        <w:rPr>
          <w:rFonts w:ascii="宋体" w:cs="宋体"/>
          <w:sz w:val="24"/>
          <w:szCs w:val="24"/>
        </w:rPr>
        <w:t>.....</w:t>
      </w:r>
      <w:r>
        <w:rPr>
          <w:rFonts w:ascii="宋体" w:hAnsi="宋体" w:cs="宋体"/>
          <w:sz w:val="24"/>
          <w:szCs w:val="24"/>
        </w:rPr>
        <w:t>.............................................12</w:t>
      </w:r>
    </w:p>
    <w:p>
      <w:pPr>
        <w:widowControl/>
        <w:tabs>
          <w:tab w:val="left" w:pos="3150"/>
          <w:tab w:val="center" w:pos="3713"/>
          <w:tab w:val="left" w:pos="4935"/>
          <w:tab w:val="right" w:leader="dot" w:pos="8400"/>
        </w:tabs>
        <w:spacing w:line="360" w:lineRule="auto"/>
        <w:rPr>
          <w:rFonts w:hint="eastAsia" w:ascii="宋体"/>
          <w:sz w:val="24"/>
          <w:szCs w:val="24"/>
        </w:rPr>
      </w:pPr>
      <w:r>
        <w:rPr>
          <w:rFonts w:ascii="宋体" w:hAnsi="宋体" w:cs="宋体"/>
          <w:sz w:val="24"/>
          <w:szCs w:val="24"/>
        </w:rPr>
        <w:t xml:space="preserve">     10.</w:t>
      </w:r>
      <w:r>
        <w:rPr>
          <w:rFonts w:hint="eastAsia" w:ascii="宋体" w:hAnsi="宋体" w:cs="宋体"/>
          <w:sz w:val="24"/>
          <w:szCs w:val="24"/>
        </w:rPr>
        <w:t>估价结果</w:t>
      </w:r>
      <w:r>
        <w:rPr>
          <w:rFonts w:ascii="宋体" w:cs="宋体"/>
          <w:sz w:val="24"/>
          <w:szCs w:val="24"/>
        </w:rPr>
        <w:t>.....</w:t>
      </w:r>
      <w:r>
        <w:rPr>
          <w:rFonts w:ascii="宋体" w:hAnsi="宋体" w:cs="宋体"/>
          <w:sz w:val="24"/>
          <w:szCs w:val="24"/>
        </w:rPr>
        <w:t>............................................1</w:t>
      </w:r>
      <w:r>
        <w:rPr>
          <w:rFonts w:hint="eastAsia" w:ascii="宋体" w:hAnsi="宋体" w:cs="宋体"/>
          <w:sz w:val="24"/>
          <w:szCs w:val="24"/>
        </w:rPr>
        <w:t>3</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11.</w:t>
      </w:r>
      <w:r>
        <w:rPr>
          <w:rFonts w:hint="eastAsia" w:ascii="宋体" w:hAnsi="宋体" w:cs="宋体"/>
          <w:sz w:val="24"/>
          <w:szCs w:val="24"/>
        </w:rPr>
        <w:t>估价人员签字</w:t>
      </w:r>
      <w:r>
        <w:rPr>
          <w:rFonts w:ascii="宋体" w:hAnsi="宋体" w:cs="宋体"/>
          <w:sz w:val="24"/>
          <w:szCs w:val="24"/>
        </w:rPr>
        <w:t>.............................................14</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12.</w:t>
      </w:r>
      <w:r>
        <w:rPr>
          <w:rFonts w:hint="eastAsia" w:ascii="宋体" w:hAnsi="宋体" w:cs="宋体"/>
          <w:sz w:val="24"/>
          <w:szCs w:val="24"/>
        </w:rPr>
        <w:t>实地勘察期</w:t>
      </w:r>
      <w:r>
        <w:rPr>
          <w:rFonts w:ascii="宋体" w:cs="宋体"/>
          <w:sz w:val="24"/>
          <w:szCs w:val="24"/>
        </w:rPr>
        <w:t>.....</w:t>
      </w:r>
      <w:r>
        <w:rPr>
          <w:rFonts w:ascii="宋体" w:hAnsi="宋体" w:cs="宋体"/>
          <w:sz w:val="24"/>
          <w:szCs w:val="24"/>
        </w:rPr>
        <w:t>..........................................14</w:t>
      </w:r>
    </w:p>
    <w:p>
      <w:pPr>
        <w:widowControl/>
        <w:tabs>
          <w:tab w:val="left" w:pos="3150"/>
          <w:tab w:val="center" w:pos="3713"/>
          <w:tab w:val="left" w:pos="4935"/>
          <w:tab w:val="right" w:leader="dot" w:pos="8400"/>
        </w:tabs>
        <w:spacing w:line="360" w:lineRule="auto"/>
        <w:rPr>
          <w:rFonts w:ascii="宋体"/>
          <w:sz w:val="24"/>
          <w:szCs w:val="24"/>
        </w:rPr>
      </w:pPr>
      <w:r>
        <w:rPr>
          <w:rFonts w:ascii="宋体" w:hAnsi="宋体" w:cs="宋体"/>
          <w:sz w:val="24"/>
          <w:szCs w:val="24"/>
        </w:rPr>
        <w:t xml:space="preserve">     13.</w:t>
      </w:r>
      <w:r>
        <w:rPr>
          <w:rFonts w:hint="eastAsia" w:ascii="宋体" w:hAnsi="宋体" w:cs="宋体"/>
          <w:sz w:val="24"/>
          <w:szCs w:val="24"/>
        </w:rPr>
        <w:t>估价作业期</w:t>
      </w:r>
      <w:r>
        <w:rPr>
          <w:rFonts w:ascii="宋体" w:cs="宋体"/>
          <w:sz w:val="24"/>
          <w:szCs w:val="24"/>
        </w:rPr>
        <w:t>......</w:t>
      </w:r>
      <w:r>
        <w:rPr>
          <w:rFonts w:ascii="宋体" w:hAnsi="宋体" w:cs="宋体"/>
          <w:sz w:val="24"/>
          <w:szCs w:val="24"/>
        </w:rPr>
        <w:t>.........................................14</w:t>
      </w:r>
    </w:p>
    <w:p>
      <w:pPr>
        <w:widowControl/>
        <w:numPr>
          <w:ilvl w:val="0"/>
          <w:numId w:val="3"/>
        </w:numPr>
        <w:tabs>
          <w:tab w:val="left" w:pos="3150"/>
          <w:tab w:val="center" w:pos="3713"/>
          <w:tab w:val="left" w:pos="4935"/>
          <w:tab w:val="right" w:leader="dot" w:pos="8400"/>
        </w:tabs>
        <w:spacing w:line="360" w:lineRule="auto"/>
        <w:rPr>
          <w:rFonts w:ascii="宋体"/>
          <w:sz w:val="24"/>
          <w:szCs w:val="24"/>
        </w:rPr>
      </w:pPr>
      <w:r>
        <w:rPr>
          <w:rFonts w:hint="eastAsia" w:ascii="宋体" w:hAnsi="宋体" w:cs="宋体"/>
          <w:sz w:val="24"/>
          <w:szCs w:val="24"/>
        </w:rPr>
        <w:t>附件</w:t>
      </w:r>
      <w:r>
        <w:rPr>
          <w:rFonts w:ascii="宋体" w:cs="宋体"/>
          <w:sz w:val="24"/>
          <w:szCs w:val="24"/>
        </w:rPr>
        <w:t>...................</w:t>
      </w:r>
      <w:r>
        <w:rPr>
          <w:rFonts w:ascii="宋体" w:hAnsi="宋体" w:cs="宋体"/>
          <w:sz w:val="24"/>
          <w:szCs w:val="24"/>
        </w:rPr>
        <w:t>......................................15</w:t>
      </w:r>
    </w:p>
    <w:p>
      <w:pPr>
        <w:widowControl/>
        <w:tabs>
          <w:tab w:val="left" w:pos="3150"/>
          <w:tab w:val="center" w:pos="3713"/>
          <w:tab w:val="left" w:pos="4935"/>
          <w:tab w:val="right" w:leader="dot" w:pos="8400"/>
        </w:tabs>
        <w:spacing w:line="360" w:lineRule="auto"/>
        <w:rPr>
          <w:rFonts w:ascii="宋体"/>
          <w:sz w:val="24"/>
          <w:szCs w:val="24"/>
        </w:rPr>
      </w:pPr>
    </w:p>
    <w:p>
      <w:pPr>
        <w:pStyle w:val="2"/>
        <w:spacing w:line="360" w:lineRule="auto"/>
        <w:rPr>
          <w:rFonts w:ascii="宋体" w:hAnsi="宋体" w:eastAsia="宋体" w:cs="Times New Roman"/>
          <w:b/>
          <w:bCs/>
          <w:color w:val="000000"/>
        </w:rPr>
      </w:pPr>
    </w:p>
    <w:p>
      <w:pPr>
        <w:pStyle w:val="2"/>
        <w:spacing w:line="360" w:lineRule="auto"/>
        <w:jc w:val="both"/>
        <w:rPr>
          <w:rFonts w:ascii="宋体" w:hAnsi="宋体" w:eastAsia="宋体" w:cs="Times New Roman"/>
          <w:b/>
          <w:bCs/>
          <w:color w:val="000000"/>
        </w:rPr>
      </w:pPr>
    </w:p>
    <w:p>
      <w:pPr>
        <w:rPr>
          <w:rFonts w:ascii="宋体"/>
          <w:b/>
          <w:bCs/>
          <w:color w:val="000000"/>
        </w:rPr>
      </w:pPr>
    </w:p>
    <w:p>
      <w:pPr>
        <w:rPr>
          <w:rFonts w:ascii="宋体"/>
          <w:b/>
          <w:bCs/>
          <w:color w:val="000000"/>
        </w:rPr>
      </w:pPr>
    </w:p>
    <w:p>
      <w:pPr>
        <w:rPr>
          <w:rFonts w:ascii="宋体"/>
          <w:b/>
          <w:bCs/>
          <w:color w:val="000000"/>
        </w:rPr>
      </w:pPr>
    </w:p>
    <w:p>
      <w:pPr>
        <w:rPr>
          <w:rFonts w:ascii="宋体"/>
          <w:b/>
          <w:bCs/>
          <w:color w:val="000000"/>
        </w:rPr>
      </w:pPr>
    </w:p>
    <w:p>
      <w:pPr>
        <w:rPr>
          <w:rFonts w:ascii="宋体"/>
          <w:b/>
          <w:bCs/>
          <w:color w:val="000000"/>
        </w:rPr>
      </w:pPr>
    </w:p>
    <w:p>
      <w:pPr>
        <w:rPr>
          <w:rFonts w:ascii="宋体"/>
          <w:b/>
          <w:bCs/>
          <w:color w:val="000000"/>
        </w:rPr>
      </w:pPr>
    </w:p>
    <w:p>
      <w:pPr>
        <w:rPr>
          <w:rFonts w:ascii="宋体"/>
          <w:b/>
          <w:bCs/>
          <w:color w:val="000000"/>
        </w:rPr>
      </w:pPr>
    </w:p>
    <w:p>
      <w:pPr>
        <w:rPr>
          <w:rFonts w:ascii="宋体"/>
          <w:b/>
          <w:bCs/>
          <w:color w:val="000000"/>
        </w:rPr>
      </w:pPr>
    </w:p>
    <w:p>
      <w:pPr>
        <w:rPr>
          <w:rFonts w:ascii="宋体"/>
          <w:b/>
          <w:bCs/>
          <w:color w:val="000000"/>
        </w:rPr>
      </w:pPr>
    </w:p>
    <w:p>
      <w:pPr>
        <w:rPr>
          <w:rFonts w:ascii="宋体"/>
          <w:b/>
          <w:bCs/>
          <w:color w:val="000000"/>
          <w:highlight w:val="yellow"/>
        </w:rPr>
      </w:pPr>
    </w:p>
    <w:p>
      <w:pPr>
        <w:rPr>
          <w:rFonts w:ascii="宋体"/>
          <w:b/>
          <w:bCs/>
          <w:color w:val="000000"/>
        </w:rPr>
      </w:pPr>
    </w:p>
    <w:p>
      <w:pPr>
        <w:pStyle w:val="2"/>
        <w:spacing w:line="360" w:lineRule="auto"/>
        <w:rPr>
          <w:rFonts w:ascii="宋体" w:hAnsi="宋体" w:eastAsia="宋体" w:cs="Times New Roman"/>
          <w:b/>
          <w:bCs/>
          <w:color w:val="000000"/>
        </w:rPr>
      </w:pPr>
      <w:r>
        <w:rPr>
          <w:rFonts w:hint="eastAsia" w:ascii="宋体" w:hAnsi="宋体" w:eastAsia="宋体" w:cs="宋体"/>
          <w:b/>
          <w:bCs/>
          <w:color w:val="000000"/>
        </w:rPr>
        <w:t>估价师声明</w:t>
      </w:r>
      <w:bookmarkEnd w:id="3"/>
      <w:bookmarkEnd w:id="4"/>
    </w:p>
    <w:p>
      <w:pPr>
        <w:widowControl/>
        <w:spacing w:line="360" w:lineRule="auto"/>
        <w:rPr>
          <w:rFonts w:ascii="宋体"/>
          <w:b/>
          <w:bCs/>
          <w:color w:val="000000"/>
          <w:spacing w:val="10"/>
          <w:sz w:val="24"/>
          <w:szCs w:val="24"/>
        </w:rPr>
      </w:pPr>
      <w:r>
        <w:rPr>
          <w:rFonts w:hint="eastAsia" w:ascii="宋体" w:hAnsi="宋体" w:cs="宋体"/>
          <w:b/>
          <w:bCs/>
          <w:color w:val="000000"/>
          <w:spacing w:val="10"/>
          <w:sz w:val="24"/>
          <w:szCs w:val="24"/>
        </w:rPr>
        <w:t>我们郑重声明：</w:t>
      </w:r>
    </w:p>
    <w:p>
      <w:pPr>
        <w:widowControl/>
        <w:numPr>
          <w:ilvl w:val="1"/>
          <w:numId w:val="4"/>
        </w:numPr>
        <w:tabs>
          <w:tab w:val="left" w:pos="945"/>
          <w:tab w:val="left" w:pos="5949"/>
        </w:tabs>
        <w:spacing w:line="360" w:lineRule="auto"/>
        <w:ind w:left="0" w:firstLine="525"/>
        <w:rPr>
          <w:rFonts w:ascii="宋体"/>
          <w:color w:val="000000"/>
          <w:spacing w:val="10"/>
          <w:sz w:val="24"/>
          <w:szCs w:val="24"/>
        </w:rPr>
      </w:pPr>
      <w:r>
        <w:rPr>
          <w:rFonts w:hint="eastAsia" w:ascii="宋体" w:hAnsi="宋体" w:cs="宋体"/>
          <w:color w:val="000000"/>
          <w:spacing w:val="10"/>
          <w:sz w:val="24"/>
          <w:szCs w:val="24"/>
        </w:rPr>
        <w:t>注册房地产估价师在估价报告中对事实的说明是真实和准确的，没有虚假记载、误导性陈述和重大遗漏；</w:t>
      </w:r>
    </w:p>
    <w:p>
      <w:pPr>
        <w:widowControl/>
        <w:numPr>
          <w:ilvl w:val="1"/>
          <w:numId w:val="4"/>
        </w:numPr>
        <w:tabs>
          <w:tab w:val="left" w:pos="945"/>
          <w:tab w:val="left" w:pos="5949"/>
        </w:tabs>
        <w:spacing w:line="360" w:lineRule="auto"/>
        <w:ind w:left="0" w:firstLine="525"/>
        <w:rPr>
          <w:rFonts w:ascii="宋体"/>
          <w:color w:val="000000"/>
          <w:spacing w:val="10"/>
          <w:sz w:val="24"/>
          <w:szCs w:val="24"/>
        </w:rPr>
      </w:pPr>
      <w:r>
        <w:rPr>
          <w:rFonts w:hint="eastAsia" w:ascii="宋体" w:hAnsi="宋体" w:cs="宋体"/>
          <w:color w:val="000000"/>
          <w:spacing w:val="10"/>
          <w:sz w:val="24"/>
          <w:szCs w:val="24"/>
        </w:rPr>
        <w:t>估价报告中的分析、意见和结论是注册房地产估价师独立、客观、公正的专业分析、意见和结论，但受到估价报告中已说明的估价假设和限制条件的限制；</w:t>
      </w:r>
    </w:p>
    <w:p>
      <w:pPr>
        <w:widowControl/>
        <w:numPr>
          <w:ilvl w:val="1"/>
          <w:numId w:val="4"/>
        </w:numPr>
        <w:tabs>
          <w:tab w:val="left" w:pos="945"/>
          <w:tab w:val="left" w:pos="5949"/>
        </w:tabs>
        <w:spacing w:line="360" w:lineRule="auto"/>
        <w:ind w:left="0" w:firstLine="525"/>
        <w:rPr>
          <w:rFonts w:ascii="宋体"/>
          <w:color w:val="000000"/>
          <w:spacing w:val="10"/>
          <w:sz w:val="24"/>
          <w:szCs w:val="24"/>
        </w:rPr>
      </w:pPr>
      <w:r>
        <w:rPr>
          <w:rFonts w:hint="eastAsia" w:ascii="宋体" w:hAnsi="宋体" w:cs="宋体"/>
          <w:color w:val="000000"/>
          <w:spacing w:val="10"/>
          <w:sz w:val="24"/>
          <w:szCs w:val="24"/>
        </w:rPr>
        <w:t>注册房地产估价师与估价报告中的估价对象没有现实或潜在的利益，与估价委托人及估价利害关系人没有利害关系，也对估价对象、估价委托人及估价利害关系人没有偏见。</w:t>
      </w:r>
    </w:p>
    <w:p>
      <w:pPr>
        <w:widowControl/>
        <w:tabs>
          <w:tab w:val="left" w:pos="945"/>
          <w:tab w:val="left" w:pos="1360"/>
          <w:tab w:val="left" w:pos="1460"/>
          <w:tab w:val="left" w:pos="5949"/>
        </w:tabs>
        <w:spacing w:line="360" w:lineRule="auto"/>
        <w:ind w:firstLine="520" w:firstLineChars="200"/>
        <w:rPr>
          <w:rFonts w:ascii="宋体"/>
          <w:color w:val="000000"/>
          <w:spacing w:val="10"/>
          <w:sz w:val="24"/>
          <w:szCs w:val="24"/>
        </w:rPr>
      </w:pPr>
      <w:r>
        <w:rPr>
          <w:rFonts w:ascii="宋体" w:hAnsi="宋体" w:cs="宋体"/>
          <w:color w:val="000000"/>
          <w:spacing w:val="10"/>
          <w:sz w:val="24"/>
          <w:szCs w:val="24"/>
        </w:rPr>
        <w:t>4.</w:t>
      </w:r>
      <w:r>
        <w:rPr>
          <w:rFonts w:hint="eastAsia" w:ascii="宋体" w:hAnsi="宋体" w:cs="宋体"/>
          <w:color w:val="000000"/>
          <w:spacing w:val="10"/>
          <w:sz w:val="24"/>
          <w:szCs w:val="24"/>
        </w:rPr>
        <w:t>注册房地产估价师是按照中华人民共和国住房和城乡建设部、中华人民共和国国家质量监督检验检疫总局</w:t>
      </w:r>
      <w:r>
        <w:rPr>
          <w:rFonts w:ascii="宋体" w:hAnsi="宋体" w:cs="宋体"/>
          <w:color w:val="000000"/>
          <w:spacing w:val="10"/>
          <w:sz w:val="24"/>
          <w:szCs w:val="24"/>
        </w:rPr>
        <w:t>2015</w:t>
      </w:r>
      <w:r>
        <w:rPr>
          <w:rFonts w:hint="eastAsia" w:ascii="宋体" w:hAnsi="宋体" w:cs="宋体"/>
          <w:color w:val="000000"/>
          <w:spacing w:val="10"/>
          <w:sz w:val="24"/>
          <w:szCs w:val="24"/>
        </w:rPr>
        <w:t>年</w:t>
      </w:r>
      <w:r>
        <w:rPr>
          <w:rFonts w:ascii="宋体" w:hAnsi="宋体" w:cs="宋体"/>
          <w:color w:val="000000"/>
          <w:spacing w:val="10"/>
          <w:sz w:val="24"/>
          <w:szCs w:val="24"/>
        </w:rPr>
        <w:t>4</w:t>
      </w:r>
      <w:r>
        <w:rPr>
          <w:rFonts w:hint="eastAsia" w:ascii="宋体" w:hAnsi="宋体" w:cs="宋体"/>
          <w:color w:val="000000"/>
          <w:spacing w:val="10"/>
          <w:sz w:val="24"/>
          <w:szCs w:val="24"/>
        </w:rPr>
        <w:t>月</w:t>
      </w:r>
      <w:r>
        <w:rPr>
          <w:rFonts w:ascii="宋体" w:hAnsi="宋体" w:cs="宋体"/>
          <w:color w:val="000000"/>
          <w:spacing w:val="10"/>
          <w:sz w:val="24"/>
          <w:szCs w:val="24"/>
        </w:rPr>
        <w:t xml:space="preserve">8 </w:t>
      </w:r>
      <w:r>
        <w:rPr>
          <w:rFonts w:hint="eastAsia" w:ascii="宋体" w:hAnsi="宋体" w:cs="宋体"/>
          <w:color w:val="000000"/>
          <w:spacing w:val="10"/>
          <w:sz w:val="24"/>
          <w:szCs w:val="24"/>
        </w:rPr>
        <w:t>日联合发布的中华人民共和国国家标准</w:t>
      </w:r>
      <w:r>
        <w:rPr>
          <w:rFonts w:ascii="宋体" w:hAnsi="宋体" w:cs="宋体"/>
          <w:color w:val="000000"/>
          <w:spacing w:val="10"/>
          <w:sz w:val="24"/>
          <w:szCs w:val="24"/>
        </w:rPr>
        <w:t>GB/T50291-2015</w:t>
      </w:r>
      <w:r>
        <w:rPr>
          <w:rFonts w:hint="eastAsia" w:ascii="宋体" w:hAnsi="宋体" w:cs="宋体"/>
          <w:color w:val="000000"/>
          <w:spacing w:val="10"/>
          <w:sz w:val="24"/>
          <w:szCs w:val="24"/>
        </w:rPr>
        <w:t>《房地产估价规范》，中华人民共和国住房和城乡建设部、中华人民共和国国家质量监督检验检疫总局</w:t>
      </w:r>
      <w:r>
        <w:rPr>
          <w:rFonts w:ascii="宋体" w:hAnsi="宋体" w:cs="宋体"/>
          <w:color w:val="000000"/>
          <w:spacing w:val="10"/>
          <w:sz w:val="24"/>
          <w:szCs w:val="24"/>
        </w:rPr>
        <w:t>2013</w:t>
      </w:r>
      <w:r>
        <w:rPr>
          <w:rFonts w:hint="eastAsia" w:ascii="宋体" w:hAnsi="宋体" w:cs="宋体"/>
          <w:color w:val="000000"/>
          <w:spacing w:val="10"/>
          <w:sz w:val="24"/>
          <w:szCs w:val="24"/>
        </w:rPr>
        <w:t>年</w:t>
      </w:r>
      <w:r>
        <w:rPr>
          <w:rFonts w:ascii="宋体" w:hAnsi="宋体" w:cs="宋体"/>
          <w:color w:val="000000"/>
          <w:spacing w:val="10"/>
          <w:sz w:val="24"/>
          <w:szCs w:val="24"/>
        </w:rPr>
        <w:t>6</w:t>
      </w:r>
      <w:r>
        <w:rPr>
          <w:rFonts w:hint="eastAsia" w:ascii="宋体" w:hAnsi="宋体" w:cs="宋体"/>
          <w:color w:val="000000"/>
          <w:spacing w:val="10"/>
          <w:sz w:val="24"/>
          <w:szCs w:val="24"/>
        </w:rPr>
        <w:t>月</w:t>
      </w:r>
      <w:r>
        <w:rPr>
          <w:rFonts w:ascii="宋体" w:hAnsi="宋体" w:cs="宋体"/>
          <w:color w:val="000000"/>
          <w:spacing w:val="10"/>
          <w:sz w:val="24"/>
          <w:szCs w:val="24"/>
        </w:rPr>
        <w:t>26</w:t>
      </w:r>
      <w:r>
        <w:rPr>
          <w:rFonts w:hint="eastAsia" w:ascii="宋体" w:hAnsi="宋体" w:cs="宋体"/>
          <w:color w:val="000000"/>
          <w:spacing w:val="10"/>
          <w:sz w:val="24"/>
          <w:szCs w:val="24"/>
        </w:rPr>
        <w:t>日联合发布的《房地产估价基本术语标准》，撰写估价报告。</w:t>
      </w:r>
    </w:p>
    <w:p>
      <w:pPr>
        <w:widowControl/>
        <w:tabs>
          <w:tab w:val="left" w:pos="945"/>
          <w:tab w:val="left" w:pos="5949"/>
        </w:tabs>
        <w:spacing w:line="360" w:lineRule="auto"/>
        <w:ind w:firstLine="520" w:firstLineChars="200"/>
        <w:rPr>
          <w:rFonts w:ascii="宋体"/>
          <w:spacing w:val="10"/>
          <w:sz w:val="24"/>
          <w:szCs w:val="24"/>
        </w:rPr>
      </w:pPr>
      <w:r>
        <w:rPr>
          <w:rFonts w:ascii="宋体" w:hAnsi="宋体" w:cs="宋体"/>
          <w:spacing w:val="10"/>
          <w:sz w:val="24"/>
          <w:szCs w:val="24"/>
        </w:rPr>
        <w:t>5.</w:t>
      </w:r>
      <w:r>
        <w:rPr>
          <w:rFonts w:hint="eastAsia" w:ascii="宋体" w:hAnsi="宋体" w:cs="宋体"/>
          <w:spacing w:val="10"/>
          <w:sz w:val="24"/>
          <w:szCs w:val="24"/>
        </w:rPr>
        <w:t>没有外部专家和单位对估价报告提供重要专业帮助。</w:t>
      </w:r>
    </w:p>
    <w:p>
      <w:pPr>
        <w:widowControl/>
        <w:tabs>
          <w:tab w:val="left" w:pos="945"/>
          <w:tab w:val="left" w:pos="5949"/>
        </w:tabs>
        <w:spacing w:line="360" w:lineRule="auto"/>
        <w:ind w:firstLine="520" w:firstLineChars="200"/>
        <w:rPr>
          <w:rFonts w:ascii="宋体"/>
          <w:spacing w:val="10"/>
          <w:sz w:val="24"/>
          <w:szCs w:val="24"/>
        </w:rPr>
      </w:pPr>
    </w:p>
    <w:p>
      <w:pPr>
        <w:widowControl/>
        <w:tabs>
          <w:tab w:val="left" w:pos="1596"/>
        </w:tabs>
        <w:spacing w:line="360" w:lineRule="auto"/>
        <w:ind w:firstLine="482" w:firstLineChars="200"/>
        <w:rPr>
          <w:rFonts w:ascii="宋体"/>
          <w:sz w:val="24"/>
          <w:szCs w:val="24"/>
        </w:rPr>
      </w:pPr>
      <w:r>
        <w:rPr>
          <w:rFonts w:hint="eastAsia" w:ascii="宋体" w:hAnsi="宋体" w:cs="宋体"/>
          <w:b/>
          <w:bCs/>
          <w:sz w:val="24"/>
          <w:szCs w:val="24"/>
        </w:rPr>
        <w:t>注册房地产估价师：</w:t>
      </w:r>
      <w:r>
        <w:rPr>
          <w:rFonts w:hint="eastAsia" w:ascii="宋体" w:hAnsi="宋体" w:cs="宋体"/>
          <w:sz w:val="24"/>
          <w:szCs w:val="24"/>
        </w:rPr>
        <w:t>李</w:t>
      </w:r>
      <w:r>
        <w:rPr>
          <w:rFonts w:ascii="宋体" w:hAnsi="宋体" w:cs="宋体"/>
          <w:sz w:val="24"/>
          <w:szCs w:val="24"/>
        </w:rPr>
        <w:t xml:space="preserve">  </w:t>
      </w:r>
      <w:r>
        <w:rPr>
          <w:rFonts w:hint="eastAsia" w:ascii="宋体" w:hAnsi="宋体" w:cs="宋体"/>
          <w:sz w:val="24"/>
          <w:szCs w:val="24"/>
        </w:rPr>
        <w:t>叶</w:t>
      </w:r>
      <w:r>
        <w:rPr>
          <w:rFonts w:ascii="宋体" w:hAnsi="宋体" w:cs="宋体"/>
          <w:sz w:val="24"/>
          <w:szCs w:val="24"/>
        </w:rPr>
        <w:t xml:space="preserve">    </w:t>
      </w:r>
      <w:r>
        <w:rPr>
          <w:rFonts w:hint="eastAsia" w:ascii="宋体" w:hAnsi="宋体" w:cs="宋体"/>
          <w:sz w:val="24"/>
          <w:szCs w:val="24"/>
        </w:rPr>
        <w:t>注册号：</w:t>
      </w:r>
      <w:r>
        <w:rPr>
          <w:rFonts w:ascii="宋体" w:hAnsi="宋体" w:cs="宋体"/>
          <w:sz w:val="24"/>
          <w:szCs w:val="24"/>
        </w:rPr>
        <w:t>4320110041</w:t>
      </w:r>
    </w:p>
    <w:p>
      <w:pPr>
        <w:widowControl/>
        <w:tabs>
          <w:tab w:val="left" w:pos="1596"/>
        </w:tabs>
        <w:spacing w:line="360" w:lineRule="auto"/>
        <w:ind w:firstLine="480" w:firstLineChars="200"/>
        <w:rPr>
          <w:rFonts w:ascii="宋体"/>
          <w:sz w:val="24"/>
          <w:szCs w:val="24"/>
        </w:rPr>
      </w:pPr>
    </w:p>
    <w:p>
      <w:pPr>
        <w:widowControl/>
        <w:tabs>
          <w:tab w:val="left" w:pos="1596"/>
        </w:tabs>
        <w:spacing w:line="360" w:lineRule="auto"/>
        <w:ind w:firstLine="472" w:firstLineChars="196"/>
        <w:rPr>
          <w:rFonts w:ascii="宋体"/>
          <w:sz w:val="24"/>
          <w:szCs w:val="24"/>
        </w:rPr>
      </w:pPr>
      <w:r>
        <w:rPr>
          <w:rFonts w:hint="eastAsia" w:ascii="宋体" w:hAnsi="宋体" w:cs="宋体"/>
          <w:b/>
          <w:bCs/>
          <w:sz w:val="24"/>
          <w:szCs w:val="24"/>
        </w:rPr>
        <w:t>注册房地产估价师：</w:t>
      </w:r>
      <w:r>
        <w:rPr>
          <w:rFonts w:hint="eastAsia" w:ascii="宋体" w:hAnsi="宋体" w:cs="宋体"/>
          <w:sz w:val="24"/>
          <w:szCs w:val="24"/>
        </w:rPr>
        <w:t>张</w:t>
      </w:r>
      <w:r>
        <w:rPr>
          <w:rFonts w:ascii="宋体" w:hAnsi="宋体" w:cs="宋体"/>
          <w:sz w:val="24"/>
          <w:szCs w:val="24"/>
        </w:rPr>
        <w:t xml:space="preserve">  </w:t>
      </w:r>
      <w:r>
        <w:rPr>
          <w:rFonts w:hint="eastAsia" w:ascii="宋体" w:hAnsi="宋体" w:cs="宋体"/>
          <w:sz w:val="24"/>
          <w:szCs w:val="24"/>
        </w:rPr>
        <w:t>剑</w:t>
      </w:r>
      <w:r>
        <w:rPr>
          <w:rFonts w:ascii="宋体" w:hAnsi="宋体" w:cs="宋体"/>
          <w:sz w:val="24"/>
          <w:szCs w:val="24"/>
        </w:rPr>
        <w:t xml:space="preserve">    </w:t>
      </w:r>
      <w:r>
        <w:rPr>
          <w:rFonts w:hint="eastAsia" w:ascii="宋体" w:hAnsi="宋体" w:cs="宋体"/>
          <w:sz w:val="24"/>
          <w:szCs w:val="24"/>
        </w:rPr>
        <w:t>注册号：</w:t>
      </w:r>
      <w:r>
        <w:rPr>
          <w:rFonts w:ascii="宋体" w:hAnsi="宋体" w:cs="宋体"/>
          <w:sz w:val="24"/>
          <w:szCs w:val="24"/>
        </w:rPr>
        <w:t>4320130025</w:t>
      </w:r>
    </w:p>
    <w:p>
      <w:pPr>
        <w:widowControl/>
        <w:spacing w:line="360" w:lineRule="auto"/>
        <w:ind w:firstLine="520" w:firstLineChars="200"/>
        <w:rPr>
          <w:rFonts w:ascii="宋体"/>
          <w:color w:val="000000"/>
          <w:spacing w:val="10"/>
          <w:sz w:val="24"/>
          <w:szCs w:val="24"/>
        </w:rPr>
      </w:pPr>
    </w:p>
    <w:p>
      <w:pPr>
        <w:widowControl/>
        <w:spacing w:line="360" w:lineRule="auto"/>
        <w:ind w:firstLine="520" w:firstLineChars="200"/>
        <w:rPr>
          <w:rFonts w:ascii="宋体"/>
          <w:color w:val="000000"/>
          <w:spacing w:val="10"/>
          <w:sz w:val="24"/>
          <w:szCs w:val="24"/>
        </w:rPr>
      </w:pPr>
    </w:p>
    <w:p>
      <w:pPr>
        <w:widowControl/>
        <w:spacing w:line="360" w:lineRule="auto"/>
        <w:ind w:firstLine="522" w:firstLineChars="200"/>
        <w:rPr>
          <w:rFonts w:ascii="宋体"/>
          <w:color w:val="000000"/>
          <w:spacing w:val="10"/>
          <w:sz w:val="24"/>
          <w:szCs w:val="24"/>
        </w:rPr>
      </w:pPr>
      <w:r>
        <w:rPr>
          <w:rFonts w:ascii="宋体"/>
          <w:b/>
          <w:bCs/>
          <w:color w:val="000000"/>
          <w:spacing w:val="10"/>
          <w:sz w:val="24"/>
          <w:szCs w:val="24"/>
        </w:rPr>
        <w:br w:type="page"/>
      </w:r>
    </w:p>
    <w:p>
      <w:pPr>
        <w:pStyle w:val="2"/>
        <w:spacing w:line="360" w:lineRule="auto"/>
        <w:rPr>
          <w:rFonts w:ascii="宋体" w:hAnsi="宋体" w:eastAsia="宋体" w:cs="Times New Roman"/>
          <w:b/>
          <w:bCs/>
          <w:color w:val="000000"/>
        </w:rPr>
      </w:pPr>
      <w:bookmarkStart w:id="5" w:name="_Toc319660473"/>
      <w:bookmarkStart w:id="6" w:name="_Toc16643"/>
      <w:r>
        <w:rPr>
          <w:rFonts w:hint="eastAsia" w:ascii="宋体" w:hAnsi="宋体" w:eastAsia="宋体" w:cs="宋体"/>
          <w:b/>
          <w:bCs/>
          <w:color w:val="000000"/>
        </w:rPr>
        <w:t>估价的假设和限制条件</w:t>
      </w:r>
      <w:bookmarkEnd w:id="5"/>
      <w:bookmarkEnd w:id="6"/>
    </w:p>
    <w:p>
      <w:pPr>
        <w:widowControl/>
        <w:tabs>
          <w:tab w:val="center" w:pos="3713"/>
          <w:tab w:val="left" w:pos="4935"/>
        </w:tabs>
        <w:spacing w:line="440" w:lineRule="exact"/>
        <w:rPr>
          <w:rFonts w:ascii="宋体"/>
          <w:b/>
          <w:bCs/>
          <w:color w:val="000000"/>
          <w:spacing w:val="10"/>
          <w:sz w:val="24"/>
          <w:szCs w:val="24"/>
        </w:rPr>
      </w:pPr>
      <w:r>
        <w:rPr>
          <w:rFonts w:hint="eastAsia" w:ascii="宋体" w:hAnsi="宋体" w:cs="宋体"/>
          <w:b/>
          <w:bCs/>
          <w:color w:val="000000"/>
          <w:spacing w:val="10"/>
          <w:sz w:val="24"/>
          <w:szCs w:val="24"/>
        </w:rPr>
        <w:t>一、估价的假设条件</w:t>
      </w:r>
    </w:p>
    <w:p>
      <w:pPr>
        <w:widowControl/>
        <w:spacing w:line="360" w:lineRule="auto"/>
        <w:ind w:left="520"/>
        <w:jc w:val="left"/>
        <w:rPr>
          <w:rFonts w:ascii="宋体"/>
          <w:spacing w:val="10"/>
          <w:sz w:val="24"/>
          <w:szCs w:val="24"/>
        </w:rPr>
      </w:pPr>
      <w:r>
        <w:rPr>
          <w:rFonts w:hint="eastAsia" w:ascii="宋体" w:hAnsi="宋体" w:cs="宋体"/>
          <w:spacing w:val="10"/>
          <w:sz w:val="24"/>
          <w:szCs w:val="24"/>
        </w:rPr>
        <w:t>（一）一般假设</w:t>
      </w:r>
    </w:p>
    <w:p>
      <w:pPr>
        <w:widowControl/>
        <w:spacing w:line="360" w:lineRule="auto"/>
        <w:ind w:firstLine="520" w:firstLineChars="200"/>
        <w:jc w:val="left"/>
        <w:rPr>
          <w:rFonts w:ascii="宋体"/>
          <w:spacing w:val="10"/>
          <w:sz w:val="24"/>
          <w:szCs w:val="24"/>
        </w:rPr>
      </w:pPr>
      <w:r>
        <w:rPr>
          <w:rFonts w:ascii="宋体" w:hAnsi="宋体" w:cs="宋体"/>
          <w:spacing w:val="10"/>
          <w:sz w:val="24"/>
          <w:szCs w:val="24"/>
        </w:rPr>
        <w:t>1.</w:t>
      </w:r>
      <w:r>
        <w:rPr>
          <w:rFonts w:hint="eastAsia" w:ascii="宋体" w:hAnsi="宋体" w:cs="宋体"/>
          <w:spacing w:val="10"/>
          <w:sz w:val="24"/>
          <w:szCs w:val="24"/>
        </w:rPr>
        <w:t>本估价报告依据了估价委托人提供的相关资料，估价委托人对资料的合法性、真实性、准确性和完整性负责（因上述原因造成估价结果有误的，评估机构和估价人员不承担相应的责任）；本报告以估价委托人提供的房屋</w:t>
      </w:r>
      <w:r>
        <w:rPr>
          <w:rFonts w:hint="eastAsia" w:ascii="宋体" w:hAnsi="宋体" w:cs="宋体"/>
          <w:spacing w:val="10"/>
          <w:sz w:val="24"/>
          <w:szCs w:val="24"/>
          <w:lang w:eastAsia="zh-CN"/>
        </w:rPr>
        <w:t>产权情况</w:t>
      </w:r>
      <w:r>
        <w:rPr>
          <w:rFonts w:hint="eastAsia" w:ascii="宋体" w:hAnsi="宋体" w:cs="宋体"/>
          <w:spacing w:val="10"/>
          <w:sz w:val="24"/>
          <w:szCs w:val="24"/>
        </w:rPr>
        <w:t>等资料合法、真实、准确为假设前提；我们对估价委托人所提供的估价对象的相关资料中的权属、面积、用途等资料进行了审慎检查，但未向政府有关部门进行核实，在无理由怀疑其合法性、真实性和完整性的情况下，假定估价委托人提供的资料合法、真实、准确、完整。</w:t>
      </w:r>
    </w:p>
    <w:p>
      <w:pPr>
        <w:widowControl/>
        <w:spacing w:line="360" w:lineRule="auto"/>
        <w:ind w:firstLine="520" w:firstLineChars="200"/>
        <w:jc w:val="left"/>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widowControl/>
        <w:tabs>
          <w:tab w:val="left" w:pos="945"/>
        </w:tabs>
        <w:spacing w:line="360" w:lineRule="auto"/>
        <w:ind w:firstLine="520" w:firstLineChars="200"/>
        <w:rPr>
          <w:rFonts w:ascii="宋体"/>
          <w:spacing w:val="10"/>
          <w:sz w:val="24"/>
          <w:szCs w:val="24"/>
        </w:rPr>
      </w:pPr>
      <w:r>
        <w:rPr>
          <w:rFonts w:ascii="宋体" w:hAnsi="宋体" w:cs="宋体"/>
          <w:spacing w:val="10"/>
          <w:sz w:val="24"/>
          <w:szCs w:val="24"/>
        </w:rPr>
        <w:t>3.</w:t>
      </w:r>
      <w:r>
        <w:rPr>
          <w:rFonts w:hint="eastAsia" w:ascii="宋体" w:hAnsi="宋体" w:cs="宋体"/>
          <w:spacing w:val="10"/>
          <w:sz w:val="24"/>
          <w:szCs w:val="24"/>
        </w:rPr>
        <w:t>我公司</w:t>
      </w:r>
      <w:r>
        <w:rPr>
          <w:rFonts w:hint="eastAsia" w:ascii="宋体" w:hAnsi="宋体" w:cs="宋体"/>
          <w:color w:val="000000"/>
          <w:spacing w:val="10"/>
          <w:sz w:val="24"/>
          <w:szCs w:val="24"/>
        </w:rPr>
        <w:t>已</w:t>
      </w:r>
      <w:r>
        <w:rPr>
          <w:rFonts w:hint="eastAsia" w:ascii="宋体" w:hAnsi="宋体" w:cs="宋体"/>
          <w:spacing w:val="10"/>
          <w:sz w:val="24"/>
          <w:szCs w:val="24"/>
        </w:rPr>
        <w:t>对估价对象进行了实地查勘。我们对勘察的客观性、真实性、公正性承担责任，但对估价对象的实地勘察仅限于其外观和使用状况，对被遮盖、未暴露及难以接触到的部分，依据估价委托人提供的资料进行评估，我们不承担对估价对象建筑结构质量进行调查的责任，也未考虑估价委托人资料中未提及的结构质量异常对房地产价值造成的影响。本次评估以估价对象权益、实物状况无缺陷、估价对象在价值时点不存在房屋结构问题与安全隐患为假设前提。</w:t>
      </w:r>
    </w:p>
    <w:p>
      <w:pPr>
        <w:widowControl/>
        <w:spacing w:line="360" w:lineRule="auto"/>
        <w:ind w:firstLine="520" w:firstLineChars="200"/>
        <w:jc w:val="left"/>
        <w:rPr>
          <w:rFonts w:ascii="宋体"/>
          <w:spacing w:val="10"/>
          <w:sz w:val="24"/>
          <w:szCs w:val="24"/>
        </w:rPr>
      </w:pPr>
      <w:r>
        <w:rPr>
          <w:rFonts w:ascii="宋体" w:hAnsi="宋体" w:cs="宋体"/>
          <w:spacing w:val="10"/>
          <w:sz w:val="24"/>
          <w:szCs w:val="24"/>
        </w:rPr>
        <w:t>4.</w:t>
      </w:r>
      <w:r>
        <w:rPr>
          <w:rFonts w:hint="eastAsia" w:ascii="宋体" w:hAnsi="宋体" w:cs="宋体"/>
          <w:spacing w:val="10"/>
          <w:sz w:val="24"/>
          <w:szCs w:val="24"/>
        </w:rPr>
        <w:t>估价对象在价值时点的房地产市场为公开、平等、自愿的交易市场，即能满足以下条件：</w:t>
      </w:r>
    </w:p>
    <w:p>
      <w:pPr>
        <w:widowControl/>
        <w:spacing w:line="360" w:lineRule="auto"/>
        <w:ind w:firstLine="520" w:firstLineChars="200"/>
        <w:jc w:val="left"/>
        <w:rPr>
          <w:rFonts w:ascii="宋体"/>
          <w:color w:val="000000"/>
          <w:spacing w:val="10"/>
          <w:sz w:val="24"/>
          <w:szCs w:val="24"/>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）假设估价对象经</w:t>
      </w:r>
      <w:r>
        <w:rPr>
          <w:rFonts w:hint="eastAsia" w:ascii="宋体" w:hAnsi="宋体" w:cs="宋体"/>
          <w:color w:val="000000"/>
          <w:spacing w:val="10"/>
          <w:sz w:val="24"/>
          <w:szCs w:val="24"/>
        </w:rPr>
        <w:t>适当营销后，由熟悉情况、谨慎行事且不受强迫的交易双方，以公平交易方式在价值时点自愿进行交易。</w:t>
      </w:r>
    </w:p>
    <w:p>
      <w:pPr>
        <w:widowControl/>
        <w:spacing w:line="440" w:lineRule="exact"/>
        <w:ind w:firstLine="520" w:firstLineChars="200"/>
        <w:jc w:val="left"/>
        <w:rPr>
          <w:rFonts w:ascii="宋体"/>
          <w:spacing w:val="10"/>
          <w:sz w:val="24"/>
          <w:szCs w:val="24"/>
        </w:rPr>
      </w:pPr>
      <w:r>
        <w:rPr>
          <w:rFonts w:hint="eastAsia" w:ascii="宋体" w:hAnsi="宋体" w:cs="宋体"/>
          <w:color w:val="000000"/>
          <w:spacing w:val="10"/>
          <w:sz w:val="24"/>
          <w:szCs w:val="24"/>
        </w:rPr>
        <w:t>本次估价于</w:t>
      </w:r>
      <w:r>
        <w:rPr>
          <w:rFonts w:hint="eastAsia" w:ascii="宋体" w:hAnsi="宋体" w:cs="宋体"/>
          <w:spacing w:val="10"/>
          <w:sz w:val="24"/>
          <w:szCs w:val="24"/>
          <w:lang w:val="en-US" w:eastAsia="zh-CN"/>
        </w:rPr>
        <w:t>2019</w:t>
      </w:r>
      <w:r>
        <w:rPr>
          <w:rFonts w:hint="eastAsia" w:ascii="宋体" w:hAnsi="宋体" w:cs="宋体"/>
          <w:spacing w:val="10"/>
          <w:sz w:val="24"/>
          <w:szCs w:val="24"/>
        </w:rPr>
        <w:t>年</w:t>
      </w:r>
      <w:r>
        <w:rPr>
          <w:rFonts w:hint="eastAsia" w:ascii="宋体" w:hAnsi="宋体" w:cs="宋体"/>
          <w:spacing w:val="10"/>
          <w:sz w:val="24"/>
          <w:szCs w:val="24"/>
          <w:lang w:val="en-US" w:eastAsia="zh-CN"/>
        </w:rPr>
        <w:t>03</w:t>
      </w:r>
      <w:r>
        <w:rPr>
          <w:rFonts w:hint="eastAsia" w:ascii="宋体" w:hAnsi="宋体" w:cs="宋体"/>
          <w:spacing w:val="10"/>
          <w:sz w:val="24"/>
          <w:szCs w:val="24"/>
        </w:rPr>
        <w:t>月</w:t>
      </w:r>
      <w:r>
        <w:rPr>
          <w:rFonts w:hint="eastAsia" w:ascii="宋体" w:hAnsi="宋体" w:cs="宋体"/>
          <w:spacing w:val="10"/>
          <w:sz w:val="24"/>
          <w:szCs w:val="24"/>
          <w:lang w:val="en-US" w:eastAsia="zh-CN"/>
        </w:rPr>
        <w:t>19</w:t>
      </w:r>
      <w:r>
        <w:rPr>
          <w:rFonts w:hint="eastAsia" w:ascii="宋体" w:hAnsi="宋体" w:cs="宋体"/>
          <w:spacing w:val="10"/>
          <w:sz w:val="24"/>
          <w:szCs w:val="24"/>
        </w:rPr>
        <w:t>日对</w:t>
      </w:r>
      <w:r>
        <w:rPr>
          <w:rFonts w:hint="eastAsia" w:ascii="宋体" w:hAnsi="宋体" w:cs="宋体"/>
          <w:color w:val="000000"/>
          <w:spacing w:val="10"/>
          <w:sz w:val="24"/>
          <w:szCs w:val="24"/>
        </w:rPr>
        <w:t>估价对象进行了现场查勘，</w:t>
      </w:r>
      <w:r>
        <w:rPr>
          <w:rFonts w:hint="eastAsia" w:ascii="宋体" w:hAnsi="宋体" w:cs="宋体"/>
          <w:color w:val="000000"/>
          <w:spacing w:val="10"/>
          <w:sz w:val="24"/>
          <w:szCs w:val="24"/>
          <w:lang w:val="zh-CN"/>
        </w:rPr>
        <w:t>湖南省中方县人民法院</w:t>
      </w:r>
      <w:r>
        <w:rPr>
          <w:rFonts w:hint="eastAsia" w:ascii="宋体" w:hAnsi="宋体" w:cs="宋体"/>
          <w:color w:val="000000"/>
          <w:spacing w:val="10"/>
          <w:sz w:val="24"/>
          <w:szCs w:val="24"/>
        </w:rPr>
        <w:t>查勘前已通知双方当事人，</w:t>
      </w:r>
      <w:r>
        <w:rPr>
          <w:rFonts w:hint="eastAsia" w:ascii="宋体" w:hAnsi="宋体" w:cs="宋体"/>
          <w:spacing w:val="10"/>
          <w:sz w:val="24"/>
          <w:szCs w:val="24"/>
        </w:rPr>
        <w:t>外勘是在</w:t>
      </w:r>
      <w:r>
        <w:rPr>
          <w:rFonts w:hint="eastAsia" w:ascii="宋体" w:hAnsi="宋体" w:cs="宋体"/>
          <w:spacing w:val="10"/>
          <w:sz w:val="24"/>
          <w:szCs w:val="24"/>
          <w:lang w:eastAsia="zh-CN"/>
        </w:rPr>
        <w:t>申请人</w:t>
      </w:r>
      <w:r>
        <w:rPr>
          <w:rFonts w:hint="eastAsia" w:ascii="宋体" w:hAnsi="宋体" w:cs="宋体"/>
          <w:spacing w:val="10"/>
          <w:sz w:val="24"/>
          <w:szCs w:val="24"/>
        </w:rPr>
        <w:t>和无利害关系法官</w:t>
      </w:r>
      <w:r>
        <w:rPr>
          <w:rFonts w:hint="eastAsia" w:ascii="宋体" w:hAnsi="宋体" w:cs="宋体"/>
          <w:spacing w:val="10"/>
          <w:sz w:val="24"/>
          <w:szCs w:val="24"/>
          <w:lang w:eastAsia="zh-CN"/>
        </w:rPr>
        <w:t>申伟</w:t>
      </w:r>
      <w:r>
        <w:rPr>
          <w:rFonts w:hint="eastAsia" w:ascii="宋体" w:hAnsi="宋体" w:cs="宋体"/>
          <w:spacing w:val="10"/>
          <w:sz w:val="24"/>
          <w:szCs w:val="24"/>
        </w:rPr>
        <w:t>的陪同下进行现场查勘，</w:t>
      </w:r>
      <w:r>
        <w:rPr>
          <w:rFonts w:hint="eastAsia" w:ascii="宋体" w:hAnsi="宋体" w:cs="宋体"/>
          <w:spacing w:val="10"/>
          <w:sz w:val="24"/>
          <w:szCs w:val="24"/>
          <w:lang w:eastAsia="zh-CN"/>
        </w:rPr>
        <w:t>被执行人未配合到现场，故无法对02幢305、306号住宅进行室内查勘，对已出租的门面及01幢305号住宅（秦军的妻子已到现场）进行现场查勘，除被执行人外，申请人及申伟法官已</w:t>
      </w:r>
      <w:r>
        <w:rPr>
          <w:rFonts w:hint="eastAsia" w:ascii="宋体" w:hAnsi="宋体" w:cs="宋体"/>
          <w:spacing w:val="10"/>
          <w:sz w:val="24"/>
          <w:szCs w:val="24"/>
        </w:rPr>
        <w:t>在现场勘验笔录上签字，以上已告知法院，该点提请报告使用人注意。</w:t>
      </w:r>
    </w:p>
    <w:p>
      <w:pPr>
        <w:widowControl/>
        <w:spacing w:line="440" w:lineRule="exact"/>
        <w:ind w:firstLine="520" w:firstLineChars="200"/>
        <w:jc w:val="left"/>
        <w:rPr>
          <w:rFonts w:ascii="宋体"/>
          <w:color w:val="000000"/>
          <w:spacing w:val="10"/>
          <w:sz w:val="24"/>
          <w:szCs w:val="24"/>
        </w:rPr>
      </w:pPr>
      <w:r>
        <w:rPr>
          <w:rFonts w:hint="eastAsia" w:ascii="宋体" w:hAnsi="宋体" w:cs="宋体"/>
          <w:color w:val="000000"/>
          <w:spacing w:val="10"/>
          <w:sz w:val="24"/>
          <w:szCs w:val="24"/>
        </w:rPr>
        <w:t>（</w:t>
      </w:r>
      <w:r>
        <w:rPr>
          <w:rFonts w:ascii="宋体" w:hAnsi="宋体" w:cs="宋体"/>
          <w:color w:val="000000"/>
          <w:spacing w:val="10"/>
          <w:sz w:val="24"/>
          <w:szCs w:val="24"/>
        </w:rPr>
        <w:t>2</w:t>
      </w:r>
      <w:r>
        <w:rPr>
          <w:rFonts w:hint="eastAsia" w:ascii="宋体" w:hAnsi="宋体" w:cs="宋体"/>
          <w:color w:val="000000"/>
          <w:spacing w:val="10"/>
          <w:sz w:val="24"/>
          <w:szCs w:val="24"/>
        </w:rPr>
        <w:t>）本次估价的估价范围详见</w:t>
      </w:r>
      <w:r>
        <w:rPr>
          <w:rFonts w:hint="eastAsia" w:ascii="宋体" w:hAnsi="宋体" w:cs="宋体"/>
          <w:color w:val="000000"/>
          <w:spacing w:val="10"/>
          <w:sz w:val="24"/>
          <w:szCs w:val="24"/>
          <w:lang w:eastAsia="zh-CN"/>
        </w:rPr>
        <w:t>房屋产权情况、房屋他项权证</w:t>
      </w:r>
      <w:r>
        <w:rPr>
          <w:rFonts w:hint="eastAsia" w:ascii="宋体" w:hAnsi="宋体" w:cs="宋体"/>
          <w:color w:val="000000"/>
          <w:spacing w:val="10"/>
          <w:sz w:val="24"/>
          <w:szCs w:val="24"/>
        </w:rPr>
        <w:t>及</w:t>
      </w:r>
      <w:r>
        <w:rPr>
          <w:rFonts w:hint="eastAsia" w:ascii="宋体" w:hAnsi="宋体" w:cs="宋体"/>
          <w:color w:val="000000"/>
          <w:spacing w:val="10"/>
          <w:sz w:val="24"/>
          <w:szCs w:val="24"/>
          <w:lang w:eastAsia="zh-CN"/>
        </w:rPr>
        <w:t>怀化高新技术产业开发区出具的房屋分户平面图等资料</w:t>
      </w:r>
      <w:r>
        <w:rPr>
          <w:rFonts w:hint="eastAsia" w:ascii="宋体" w:hAnsi="宋体" w:cs="宋体"/>
          <w:color w:val="000000"/>
          <w:spacing w:val="10"/>
          <w:sz w:val="24"/>
          <w:szCs w:val="24"/>
        </w:rPr>
        <w:t>，</w:t>
      </w:r>
      <w:r>
        <w:rPr>
          <w:rFonts w:hint="eastAsia" w:ascii="宋体" w:hAnsi="宋体" w:cs="宋体"/>
          <w:color w:val="000000"/>
          <w:spacing w:val="10"/>
          <w:sz w:val="24"/>
          <w:szCs w:val="24"/>
          <w:lang w:eastAsia="zh-CN"/>
        </w:rPr>
        <w:t>包</w:t>
      </w:r>
      <w:r>
        <w:rPr>
          <w:rFonts w:hint="eastAsia" w:ascii="宋体" w:hAnsi="宋体" w:cs="宋体"/>
          <w:color w:val="000000"/>
          <w:spacing w:val="10"/>
          <w:sz w:val="24"/>
          <w:szCs w:val="24"/>
        </w:rPr>
        <w:t>含室内装饰装修。</w:t>
      </w:r>
    </w:p>
    <w:p>
      <w:pPr>
        <w:widowControl/>
        <w:spacing w:line="440" w:lineRule="exact"/>
        <w:ind w:firstLine="520" w:firstLineChars="200"/>
        <w:jc w:val="left"/>
        <w:rPr>
          <w:rFonts w:ascii="宋体"/>
          <w:color w:val="000000"/>
          <w:spacing w:val="10"/>
          <w:sz w:val="24"/>
          <w:szCs w:val="24"/>
        </w:rPr>
      </w:pPr>
      <w:r>
        <w:rPr>
          <w:rFonts w:hint="eastAsia" w:ascii="宋体" w:hAnsi="宋体" w:cs="宋体"/>
          <w:color w:val="000000"/>
          <w:spacing w:val="10"/>
          <w:sz w:val="24"/>
          <w:szCs w:val="24"/>
        </w:rPr>
        <w:t>（</w:t>
      </w:r>
      <w:r>
        <w:rPr>
          <w:rFonts w:ascii="宋体" w:hAnsi="宋体" w:cs="宋体"/>
          <w:color w:val="000000"/>
          <w:spacing w:val="10"/>
          <w:sz w:val="24"/>
          <w:szCs w:val="24"/>
        </w:rPr>
        <w:t>3</w:t>
      </w:r>
      <w:r>
        <w:rPr>
          <w:rFonts w:hint="eastAsia" w:ascii="宋体" w:hAnsi="宋体" w:cs="宋体"/>
          <w:color w:val="000000"/>
          <w:spacing w:val="10"/>
          <w:sz w:val="24"/>
          <w:szCs w:val="24"/>
        </w:rPr>
        <w:t>）本次评估结论为价值时点的市场价值，假设在此期间房地产市场价格保持持续稳定。今后，随着时间的推移及房地产市场情况发生变化，本结论亦需作相应的调整。</w:t>
      </w:r>
    </w:p>
    <w:p>
      <w:pPr>
        <w:widowControl/>
        <w:spacing w:line="440" w:lineRule="exact"/>
        <w:ind w:firstLine="520" w:firstLineChars="200"/>
        <w:jc w:val="left"/>
        <w:rPr>
          <w:rFonts w:ascii="宋体"/>
          <w:color w:val="000000"/>
          <w:spacing w:val="10"/>
          <w:sz w:val="24"/>
          <w:szCs w:val="24"/>
        </w:rPr>
      </w:pPr>
      <w:r>
        <w:rPr>
          <w:rFonts w:hint="eastAsia" w:ascii="宋体" w:hAnsi="宋体" w:cs="宋体"/>
          <w:color w:val="000000"/>
          <w:spacing w:val="10"/>
          <w:sz w:val="24"/>
          <w:szCs w:val="24"/>
        </w:rPr>
        <w:t>（二）未定事项假设（无）</w:t>
      </w:r>
    </w:p>
    <w:p>
      <w:pPr>
        <w:widowControl/>
        <w:spacing w:line="440" w:lineRule="exact"/>
        <w:ind w:firstLine="520" w:firstLineChars="200"/>
        <w:jc w:val="left"/>
        <w:rPr>
          <w:rFonts w:ascii="宋体"/>
          <w:color w:val="000000"/>
          <w:spacing w:val="10"/>
          <w:sz w:val="24"/>
          <w:szCs w:val="24"/>
        </w:rPr>
      </w:pPr>
      <w:r>
        <w:rPr>
          <w:rFonts w:hint="eastAsia" w:ascii="宋体" w:hAnsi="宋体" w:cs="宋体"/>
          <w:color w:val="000000"/>
          <w:spacing w:val="10"/>
          <w:sz w:val="24"/>
          <w:szCs w:val="24"/>
        </w:rPr>
        <w:t>本次评估</w:t>
      </w:r>
      <w:r>
        <w:rPr>
          <w:rFonts w:hint="eastAsia" w:ascii="宋体" w:hAnsi="宋体" w:cs="宋体"/>
          <w:color w:val="000000"/>
          <w:spacing w:val="10"/>
          <w:sz w:val="24"/>
          <w:szCs w:val="24"/>
          <w:lang w:eastAsia="zh-CN"/>
        </w:rPr>
        <w:t>以</w:t>
      </w:r>
      <w:r>
        <w:rPr>
          <w:rFonts w:hint="eastAsia" w:ascii="宋体" w:hAnsi="宋体" w:cs="宋体"/>
          <w:color w:val="000000"/>
          <w:spacing w:val="10"/>
          <w:sz w:val="24"/>
          <w:szCs w:val="24"/>
        </w:rPr>
        <w:t>估价对象的工程质量合格，无安全隐患</w:t>
      </w:r>
      <w:r>
        <w:rPr>
          <w:rFonts w:hint="eastAsia" w:ascii="宋体" w:hAnsi="宋体" w:cs="宋体"/>
          <w:color w:val="000000"/>
          <w:spacing w:val="10"/>
          <w:sz w:val="24"/>
          <w:szCs w:val="24"/>
          <w:lang w:eastAsia="zh-CN"/>
        </w:rPr>
        <w:t>为估价前提</w:t>
      </w:r>
      <w:r>
        <w:rPr>
          <w:rFonts w:hint="eastAsia" w:ascii="宋体" w:hAnsi="宋体" w:cs="宋体"/>
          <w:color w:val="000000"/>
          <w:spacing w:val="10"/>
          <w:sz w:val="24"/>
          <w:szCs w:val="24"/>
        </w:rPr>
        <w:t>。</w:t>
      </w:r>
    </w:p>
    <w:p>
      <w:pPr>
        <w:widowControl/>
        <w:spacing w:line="440" w:lineRule="exact"/>
        <w:ind w:firstLine="520" w:firstLineChars="200"/>
        <w:jc w:val="left"/>
        <w:rPr>
          <w:rFonts w:ascii="宋体"/>
          <w:color w:val="000000"/>
          <w:spacing w:val="10"/>
          <w:sz w:val="24"/>
          <w:szCs w:val="24"/>
        </w:rPr>
      </w:pPr>
      <w:r>
        <w:rPr>
          <w:rFonts w:hint="eastAsia" w:ascii="宋体" w:hAnsi="宋体" w:cs="宋体"/>
          <w:color w:val="000000"/>
          <w:spacing w:val="10"/>
          <w:sz w:val="24"/>
          <w:szCs w:val="24"/>
        </w:rPr>
        <w:t>（三）背离事实假设</w:t>
      </w:r>
    </w:p>
    <w:p>
      <w:pPr>
        <w:widowControl/>
        <w:spacing w:line="440" w:lineRule="exact"/>
        <w:ind w:firstLine="520" w:firstLineChars="200"/>
        <w:rPr>
          <w:rFonts w:ascii="宋体"/>
          <w:color w:val="000000"/>
          <w:spacing w:val="10"/>
          <w:sz w:val="24"/>
          <w:szCs w:val="24"/>
        </w:rPr>
      </w:pPr>
      <w:r>
        <w:rPr>
          <w:rFonts w:hint="eastAsia" w:ascii="宋体" w:hAnsi="宋体" w:cs="宋体"/>
          <w:spacing w:val="10"/>
          <w:sz w:val="24"/>
          <w:szCs w:val="24"/>
        </w:rPr>
        <w:t>估价对象已设定他项权利。</w:t>
      </w:r>
    </w:p>
    <w:p>
      <w:pPr>
        <w:widowControl/>
        <w:spacing w:line="440" w:lineRule="exact"/>
        <w:ind w:firstLine="520" w:firstLineChars="200"/>
        <w:jc w:val="left"/>
        <w:rPr>
          <w:rFonts w:ascii="宋体"/>
          <w:color w:val="000000"/>
          <w:spacing w:val="10"/>
          <w:sz w:val="24"/>
          <w:szCs w:val="24"/>
        </w:rPr>
      </w:pPr>
      <w:r>
        <w:rPr>
          <w:rFonts w:hint="eastAsia" w:ascii="宋体" w:hAnsi="宋体" w:cs="宋体"/>
          <w:color w:val="000000"/>
          <w:spacing w:val="10"/>
          <w:sz w:val="24"/>
          <w:szCs w:val="24"/>
        </w:rPr>
        <w:t>（四）不相一致假设（无）</w:t>
      </w:r>
    </w:p>
    <w:p>
      <w:pPr>
        <w:widowControl/>
        <w:spacing w:line="440" w:lineRule="exact"/>
        <w:ind w:firstLine="520" w:firstLineChars="200"/>
        <w:jc w:val="left"/>
        <w:rPr>
          <w:rFonts w:ascii="宋体"/>
          <w:color w:val="000000"/>
          <w:spacing w:val="10"/>
          <w:sz w:val="24"/>
          <w:szCs w:val="24"/>
        </w:rPr>
      </w:pPr>
      <w:r>
        <w:rPr>
          <w:rFonts w:hint="eastAsia" w:ascii="宋体" w:hAnsi="宋体" w:cs="宋体"/>
          <w:color w:val="000000"/>
          <w:spacing w:val="10"/>
          <w:sz w:val="24"/>
          <w:szCs w:val="24"/>
        </w:rPr>
        <w:t>（五）依据不足假设</w:t>
      </w:r>
    </w:p>
    <w:p>
      <w:pPr>
        <w:widowControl/>
        <w:spacing w:line="440" w:lineRule="exact"/>
        <w:ind w:firstLine="520" w:firstLineChars="200"/>
        <w:jc w:val="left"/>
        <w:rPr>
          <w:rFonts w:hint="eastAsia" w:ascii="宋体" w:eastAsia="宋体"/>
          <w:color w:val="000000"/>
          <w:spacing w:val="10"/>
          <w:sz w:val="24"/>
          <w:szCs w:val="24"/>
          <w:lang w:eastAsia="zh-CN"/>
        </w:rPr>
      </w:pPr>
      <w:r>
        <w:rPr>
          <w:rFonts w:hint="eastAsia" w:ascii="宋体" w:hAnsi="宋体" w:cs="宋体"/>
          <w:color w:val="000000"/>
          <w:spacing w:val="10"/>
          <w:sz w:val="24"/>
          <w:szCs w:val="24"/>
        </w:rPr>
        <w:t>估价委托人仅提供估价对象</w:t>
      </w:r>
      <w:r>
        <w:rPr>
          <w:rFonts w:hint="eastAsia" w:ascii="宋体" w:hAnsi="宋体" w:cs="宋体"/>
          <w:color w:val="000000"/>
          <w:spacing w:val="10"/>
          <w:sz w:val="24"/>
          <w:szCs w:val="24"/>
          <w:lang w:eastAsia="zh-CN"/>
        </w:rPr>
        <w:t>房屋他项权证、房屋产权情况以及怀化高新技术产业开发区出具的房屋分户平面图</w:t>
      </w:r>
      <w:r>
        <w:rPr>
          <w:rFonts w:hint="eastAsia" w:ascii="宋体" w:hAnsi="宋体" w:cs="宋体"/>
          <w:color w:val="000000"/>
          <w:spacing w:val="10"/>
          <w:sz w:val="24"/>
          <w:szCs w:val="24"/>
        </w:rPr>
        <w:t>，尚未提供不动产权证，本次评估以估价对象能取得的完整有效的合法产权为估价前提，假设估价对象为出让土地</w:t>
      </w:r>
      <w:r>
        <w:rPr>
          <w:rFonts w:hint="eastAsia" w:ascii="宋体" w:hAnsi="宋体" w:cs="宋体"/>
          <w:color w:val="000000"/>
          <w:spacing w:val="10"/>
          <w:sz w:val="24"/>
          <w:szCs w:val="24"/>
          <w:lang w:eastAsia="zh-CN"/>
        </w:rPr>
        <w:t>。</w:t>
      </w:r>
    </w:p>
    <w:p>
      <w:pPr>
        <w:widowControl/>
        <w:tabs>
          <w:tab w:val="center" w:pos="3713"/>
          <w:tab w:val="left" w:pos="4935"/>
        </w:tabs>
        <w:spacing w:line="440" w:lineRule="exact"/>
        <w:rPr>
          <w:rFonts w:ascii="宋体"/>
          <w:b/>
          <w:bCs/>
          <w:color w:val="000000"/>
          <w:spacing w:val="10"/>
          <w:sz w:val="24"/>
          <w:szCs w:val="24"/>
        </w:rPr>
      </w:pPr>
      <w:r>
        <w:rPr>
          <w:rFonts w:hint="eastAsia" w:ascii="宋体" w:hAnsi="宋体" w:cs="宋体"/>
          <w:b/>
          <w:bCs/>
          <w:color w:val="000000"/>
          <w:spacing w:val="10"/>
          <w:sz w:val="24"/>
          <w:szCs w:val="24"/>
        </w:rPr>
        <w:t>二、估价的限制条件</w:t>
      </w:r>
    </w:p>
    <w:p>
      <w:pPr>
        <w:widowControl/>
        <w:spacing w:line="440" w:lineRule="exact"/>
        <w:ind w:firstLine="520" w:firstLineChars="200"/>
        <w:rPr>
          <w:rFonts w:ascii="宋体"/>
          <w:spacing w:val="10"/>
          <w:sz w:val="24"/>
          <w:szCs w:val="24"/>
        </w:rPr>
      </w:pPr>
      <w:r>
        <w:rPr>
          <w:rFonts w:ascii="宋体" w:hAnsi="宋体" w:cs="宋体"/>
          <w:spacing w:val="10"/>
          <w:sz w:val="24"/>
          <w:szCs w:val="24"/>
        </w:rPr>
        <w:t>1.</w:t>
      </w:r>
      <w:r>
        <w:rPr>
          <w:rFonts w:hint="eastAsia" w:ascii="宋体" w:hAnsi="宋体" w:cs="宋体"/>
          <w:spacing w:val="10"/>
          <w:sz w:val="24"/>
          <w:szCs w:val="24"/>
        </w:rPr>
        <w:t>评估报告结论系为估价委托人提供专业化估价意见，这个意见本身并无强制执行的效力，评估者只对结论本身合乎规范要求负责，而不对资产业务的定价决策负责。报告使用人应详细阅读报告全部内容，对报告整体使用。</w:t>
      </w:r>
    </w:p>
    <w:p>
      <w:pPr>
        <w:widowControl/>
        <w:spacing w:line="440" w:lineRule="exact"/>
        <w:ind w:firstLine="520" w:firstLineChars="200"/>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本报告估价结果仅作为估价委托人司法办案了解涉案房地产市场价值提供参考依据，用于其它目的，本报告及估价结论无效。</w:t>
      </w:r>
    </w:p>
    <w:p>
      <w:pPr>
        <w:widowControl/>
        <w:spacing w:line="440" w:lineRule="exact"/>
        <w:ind w:firstLine="520" w:firstLineChars="200"/>
        <w:rPr>
          <w:rFonts w:ascii="宋体"/>
          <w:spacing w:val="10"/>
          <w:sz w:val="24"/>
          <w:szCs w:val="24"/>
        </w:rPr>
      </w:pPr>
      <w:r>
        <w:rPr>
          <w:rFonts w:ascii="宋体" w:hAnsi="宋体" w:cs="宋体"/>
          <w:spacing w:val="10"/>
          <w:sz w:val="24"/>
          <w:szCs w:val="24"/>
        </w:rPr>
        <w:t>3.</w:t>
      </w:r>
      <w:r>
        <w:rPr>
          <w:rFonts w:hint="eastAsia" w:ascii="宋体" w:hAnsi="宋体" w:cs="宋体"/>
          <w:spacing w:val="10"/>
          <w:sz w:val="24"/>
          <w:szCs w:val="24"/>
        </w:rPr>
        <w:t>未经本评估机构和估价人员的同意，估价报告不得向估价委托人及报告审查部门以外的单位及个人提供，本估价报告的全部或其部分内容不得发表于任何公开媒体上，凡因估价委托人使用估价报告不当而引起的后果，评估机构和估价人员不承担相应的责任。报告解释权为本评估机构所有。</w:t>
      </w:r>
    </w:p>
    <w:p>
      <w:pPr>
        <w:widowControl/>
        <w:spacing w:line="440" w:lineRule="exact"/>
        <w:ind w:firstLine="520" w:firstLineChars="200"/>
        <w:rPr>
          <w:rFonts w:ascii="宋体"/>
          <w:spacing w:val="10"/>
          <w:sz w:val="24"/>
          <w:szCs w:val="24"/>
        </w:rPr>
      </w:pPr>
      <w:r>
        <w:rPr>
          <w:rFonts w:ascii="宋体" w:hAnsi="宋体" w:cs="宋体"/>
          <w:spacing w:val="10"/>
          <w:sz w:val="24"/>
          <w:szCs w:val="24"/>
        </w:rPr>
        <w:t xml:space="preserve">4. </w:t>
      </w:r>
      <w:r>
        <w:rPr>
          <w:rFonts w:hint="eastAsia" w:ascii="宋体" w:hAnsi="宋体" w:cs="宋体"/>
          <w:spacing w:val="10"/>
          <w:sz w:val="24"/>
          <w:szCs w:val="24"/>
        </w:rPr>
        <w:t>报告使用者应合理使用评估价值。本次评估结论为价值时点的价值，假设在此期间房地产市场价格保持持续稳定，且未考虑国家宏观经济政策发生重大变化以及遇有自然力和其他不可抗力对估价结论的影响。价值时点后，估价报告有效期内，如果估价对象的质量及价格标准发生变化，或房地产市场变化较大并对估价对象产生明显影响时，不能直接使用本估价结论。</w:t>
      </w:r>
    </w:p>
    <w:p>
      <w:pPr>
        <w:widowControl/>
        <w:spacing w:line="440" w:lineRule="exact"/>
        <w:ind w:firstLine="520" w:firstLineChars="200"/>
        <w:rPr>
          <w:rFonts w:ascii="宋体"/>
          <w:spacing w:val="10"/>
          <w:sz w:val="24"/>
          <w:szCs w:val="24"/>
        </w:rPr>
      </w:pPr>
      <w:r>
        <w:rPr>
          <w:rFonts w:ascii="宋体" w:hAnsi="宋体" w:cs="宋体"/>
          <w:spacing w:val="10"/>
          <w:sz w:val="24"/>
          <w:szCs w:val="24"/>
        </w:rPr>
        <w:t>5.</w:t>
      </w:r>
      <w:r>
        <w:rPr>
          <w:rFonts w:hint="eastAsia" w:ascii="宋体" w:hAnsi="宋体" w:cs="宋体"/>
          <w:spacing w:val="10"/>
          <w:sz w:val="24"/>
          <w:szCs w:val="24"/>
        </w:rPr>
        <w:t>双方当事人接到本报告书次日起</w:t>
      </w:r>
      <w:r>
        <w:rPr>
          <w:rFonts w:ascii="宋体" w:hAnsi="宋体" w:cs="宋体"/>
          <w:spacing w:val="10"/>
          <w:sz w:val="24"/>
          <w:szCs w:val="24"/>
        </w:rPr>
        <w:t>10</w:t>
      </w:r>
      <w:r>
        <w:rPr>
          <w:rFonts w:hint="eastAsia" w:ascii="宋体" w:hAnsi="宋体" w:cs="宋体"/>
          <w:spacing w:val="10"/>
          <w:sz w:val="24"/>
          <w:szCs w:val="24"/>
        </w:rPr>
        <w:t>日内，如对评估结果有异议，应书面提出并提交相应依据，逾期不提出，本估价报告生效。</w:t>
      </w:r>
    </w:p>
    <w:p>
      <w:pPr>
        <w:widowControl/>
        <w:spacing w:line="440" w:lineRule="exact"/>
        <w:ind w:firstLine="520" w:firstLineChars="200"/>
        <w:rPr>
          <w:rFonts w:ascii="宋体"/>
          <w:spacing w:val="10"/>
          <w:sz w:val="24"/>
          <w:szCs w:val="24"/>
        </w:rPr>
      </w:pPr>
      <w:r>
        <w:rPr>
          <w:rFonts w:ascii="宋体" w:hAnsi="宋体" w:cs="宋体"/>
          <w:spacing w:val="10"/>
          <w:sz w:val="24"/>
          <w:szCs w:val="24"/>
        </w:rPr>
        <w:t>6</w:t>
      </w:r>
      <w:r>
        <w:rPr>
          <w:rFonts w:ascii="宋体" w:cs="宋体"/>
          <w:color w:val="000000"/>
          <w:spacing w:val="10"/>
          <w:sz w:val="24"/>
          <w:szCs w:val="24"/>
        </w:rPr>
        <w:t>.</w:t>
      </w:r>
      <w:r>
        <w:rPr>
          <w:rFonts w:hint="eastAsia" w:ascii="宋体" w:hAnsi="宋体" w:cs="宋体"/>
          <w:color w:val="000000"/>
          <w:spacing w:val="10"/>
          <w:sz w:val="24"/>
          <w:szCs w:val="24"/>
        </w:rPr>
        <w:t>本报告估价报告使用期限</w:t>
      </w:r>
      <w:r>
        <w:rPr>
          <w:rFonts w:ascii="宋体" w:hAnsi="宋体" w:cs="宋体"/>
          <w:color w:val="000000"/>
          <w:spacing w:val="10"/>
          <w:sz w:val="24"/>
          <w:szCs w:val="24"/>
        </w:rPr>
        <w:t>(</w:t>
      </w:r>
      <w:r>
        <w:rPr>
          <w:rFonts w:hint="eastAsia" w:ascii="宋体" w:hAnsi="宋体" w:cs="宋体"/>
          <w:color w:val="000000"/>
          <w:spacing w:val="10"/>
          <w:sz w:val="24"/>
          <w:szCs w:val="24"/>
        </w:rPr>
        <w:t>估价报告应用的有效期</w:t>
      </w:r>
      <w:r>
        <w:rPr>
          <w:rFonts w:ascii="宋体" w:hAnsi="宋体" w:cs="宋体"/>
          <w:color w:val="000000"/>
          <w:spacing w:val="10"/>
          <w:sz w:val="24"/>
          <w:szCs w:val="24"/>
        </w:rPr>
        <w:t xml:space="preserve">) </w:t>
      </w:r>
      <w:r>
        <w:rPr>
          <w:rFonts w:hint="eastAsia" w:ascii="宋体" w:hAnsi="宋体" w:cs="宋体"/>
          <w:color w:val="000000"/>
          <w:spacing w:val="10"/>
          <w:sz w:val="24"/>
          <w:szCs w:val="24"/>
        </w:rPr>
        <w:t>自本估价报告出具之日起计算半年，如果使用本估价结果报告的时间超过了估价报告使用期限</w:t>
      </w:r>
      <w:r>
        <w:rPr>
          <w:rFonts w:ascii="宋体" w:hAnsi="宋体" w:cs="宋体"/>
          <w:color w:val="000000"/>
          <w:spacing w:val="10"/>
          <w:sz w:val="24"/>
          <w:szCs w:val="24"/>
        </w:rPr>
        <w:t>(</w:t>
      </w:r>
      <w:r>
        <w:rPr>
          <w:rFonts w:hint="eastAsia" w:ascii="宋体" w:hAnsi="宋体" w:cs="宋体"/>
          <w:color w:val="000000"/>
          <w:spacing w:val="10"/>
          <w:sz w:val="24"/>
          <w:szCs w:val="24"/>
        </w:rPr>
        <w:t>估价报告应用的有效期</w:t>
      </w:r>
      <w:r>
        <w:rPr>
          <w:rFonts w:ascii="宋体" w:hAnsi="宋体" w:cs="宋体"/>
          <w:color w:val="000000"/>
          <w:spacing w:val="10"/>
          <w:sz w:val="24"/>
          <w:szCs w:val="24"/>
        </w:rPr>
        <w:t>)</w:t>
      </w:r>
      <w:r>
        <w:rPr>
          <w:rFonts w:hint="eastAsia" w:ascii="宋体" w:hAnsi="宋体" w:cs="宋体"/>
          <w:color w:val="000000"/>
          <w:spacing w:val="10"/>
          <w:sz w:val="24"/>
          <w:szCs w:val="24"/>
        </w:rPr>
        <w:t>，我们对此结果造成的损失不承担责任。建议报告使用人在房地产市场变化较大情况</w:t>
      </w:r>
      <w:r>
        <w:rPr>
          <w:rFonts w:hint="eastAsia" w:ascii="宋体" w:hAnsi="宋体" w:cs="宋体"/>
          <w:spacing w:val="10"/>
          <w:sz w:val="24"/>
          <w:szCs w:val="24"/>
        </w:rPr>
        <w:t>下适时对委评房地产进行再评估。</w:t>
      </w:r>
    </w:p>
    <w:p>
      <w:pPr>
        <w:widowControl/>
        <w:spacing w:line="440" w:lineRule="exact"/>
        <w:ind w:left="567"/>
        <w:rPr>
          <w:rFonts w:ascii="宋体"/>
          <w:spacing w:val="10"/>
          <w:sz w:val="24"/>
          <w:szCs w:val="24"/>
        </w:rPr>
      </w:pPr>
      <w:r>
        <w:rPr>
          <w:rFonts w:ascii="宋体"/>
          <w:spacing w:val="10"/>
          <w:sz w:val="24"/>
          <w:szCs w:val="24"/>
        </w:rPr>
        <w:br w:type="page"/>
      </w:r>
    </w:p>
    <w:p>
      <w:pPr>
        <w:pStyle w:val="2"/>
        <w:spacing w:line="360" w:lineRule="auto"/>
        <w:rPr>
          <w:rFonts w:ascii="黑体" w:hAnsi="宋体" w:eastAsia="黑体" w:cs="Times New Roman"/>
          <w:b/>
          <w:bCs/>
          <w:sz w:val="32"/>
          <w:szCs w:val="32"/>
        </w:rPr>
      </w:pPr>
      <w:bookmarkStart w:id="7" w:name="_Toc28221"/>
      <w:r>
        <w:rPr>
          <w:rFonts w:hint="eastAsia" w:ascii="黑体" w:hAnsi="宋体" w:eastAsia="黑体" w:cs="黑体"/>
          <w:b/>
          <w:bCs/>
          <w:sz w:val="32"/>
          <w:szCs w:val="32"/>
        </w:rPr>
        <w:t>房地产估价结果报告</w:t>
      </w:r>
      <w:bookmarkEnd w:id="7"/>
    </w:p>
    <w:p/>
    <w:p>
      <w:pPr>
        <w:pStyle w:val="3"/>
        <w:snapToGrid/>
        <w:spacing w:line="360" w:lineRule="auto"/>
        <w:rPr>
          <w:rFonts w:ascii="宋体" w:eastAsia="宋体" w:cs="Times New Roman"/>
          <w:spacing w:val="10"/>
          <w:sz w:val="24"/>
          <w:szCs w:val="24"/>
        </w:rPr>
      </w:pPr>
      <w:bookmarkStart w:id="8" w:name="_Toc256000004"/>
      <w:bookmarkStart w:id="9" w:name="_Toc9867"/>
      <w:r>
        <w:rPr>
          <w:rFonts w:hint="eastAsia" w:ascii="宋体" w:hAnsi="宋体" w:eastAsia="宋体" w:cs="宋体"/>
          <w:spacing w:val="10"/>
          <w:sz w:val="24"/>
          <w:szCs w:val="24"/>
        </w:rPr>
        <w:t>一、估价委托人</w:t>
      </w:r>
      <w:bookmarkEnd w:id="8"/>
      <w:r>
        <w:rPr>
          <w:rFonts w:hint="eastAsia" w:ascii="宋体" w:hAnsi="宋体" w:eastAsia="宋体" w:cs="宋体"/>
          <w:spacing w:val="10"/>
          <w:sz w:val="24"/>
          <w:szCs w:val="24"/>
        </w:rPr>
        <w:t>：</w:t>
      </w:r>
      <w:bookmarkEnd w:id="9"/>
      <w:r>
        <w:rPr>
          <w:rFonts w:hint="eastAsia" w:ascii="宋体" w:hAnsi="宋体" w:eastAsia="宋体" w:cs="宋体"/>
          <w:b w:val="0"/>
          <w:bCs w:val="0"/>
          <w:spacing w:val="10"/>
          <w:sz w:val="24"/>
          <w:szCs w:val="24"/>
          <w:lang w:val="zh-CN"/>
        </w:rPr>
        <w:t>湖南省中方县人民法院</w:t>
      </w:r>
      <w:r>
        <w:rPr>
          <w:rFonts w:ascii="宋体" w:eastAsia="宋体" w:cs="Times New Roman"/>
          <w:spacing w:val="10"/>
          <w:sz w:val="24"/>
          <w:szCs w:val="24"/>
        </w:rPr>
        <w:tab/>
      </w:r>
    </w:p>
    <w:p>
      <w:pPr>
        <w:widowControl/>
        <w:spacing w:line="360" w:lineRule="auto"/>
        <w:ind w:firstLine="522" w:firstLineChars="200"/>
        <w:rPr>
          <w:rFonts w:ascii="宋体"/>
          <w:spacing w:val="10"/>
          <w:sz w:val="24"/>
          <w:szCs w:val="24"/>
        </w:rPr>
      </w:pPr>
      <w:r>
        <w:rPr>
          <w:rFonts w:hint="eastAsia" w:ascii="宋体" w:hAnsi="宋体" w:cs="宋体"/>
          <w:b/>
          <w:bCs/>
          <w:spacing w:val="10"/>
          <w:sz w:val="24"/>
          <w:szCs w:val="24"/>
        </w:rPr>
        <w:t>地</w:t>
      </w:r>
      <w:r>
        <w:rPr>
          <w:rFonts w:ascii="宋体" w:hAnsi="宋体" w:cs="宋体"/>
          <w:b/>
          <w:bCs/>
          <w:spacing w:val="10"/>
          <w:sz w:val="24"/>
          <w:szCs w:val="24"/>
        </w:rPr>
        <w:t xml:space="preserve">    </w:t>
      </w:r>
      <w:r>
        <w:rPr>
          <w:rFonts w:hint="eastAsia" w:ascii="宋体" w:hAnsi="宋体" w:cs="宋体"/>
          <w:b/>
          <w:bCs/>
          <w:spacing w:val="10"/>
          <w:sz w:val="24"/>
          <w:szCs w:val="24"/>
        </w:rPr>
        <w:t>址：</w:t>
      </w:r>
      <w:r>
        <w:rPr>
          <w:rFonts w:hint="eastAsia" w:ascii="宋体" w:hAnsi="宋体" w:cs="宋体"/>
          <w:spacing w:val="10"/>
          <w:sz w:val="24"/>
          <w:szCs w:val="24"/>
        </w:rPr>
        <w:t>怀化市中方县</w:t>
      </w:r>
    </w:p>
    <w:p>
      <w:pPr>
        <w:widowControl/>
        <w:spacing w:line="360" w:lineRule="auto"/>
        <w:ind w:firstLine="522" w:firstLineChars="200"/>
        <w:rPr>
          <w:rFonts w:hint="eastAsia" w:ascii="宋体" w:eastAsia="宋体"/>
          <w:spacing w:val="10"/>
          <w:sz w:val="24"/>
          <w:szCs w:val="24"/>
          <w:lang w:eastAsia="zh-CN"/>
        </w:rPr>
      </w:pPr>
      <w:r>
        <w:rPr>
          <w:rFonts w:hint="eastAsia" w:ascii="宋体" w:hAnsi="宋体" w:cs="宋体"/>
          <w:b/>
          <w:bCs/>
          <w:spacing w:val="10"/>
          <w:sz w:val="24"/>
          <w:szCs w:val="24"/>
        </w:rPr>
        <w:t>联</w:t>
      </w:r>
      <w:r>
        <w:rPr>
          <w:rFonts w:ascii="宋体" w:hAnsi="宋体" w:cs="宋体"/>
          <w:b/>
          <w:bCs/>
          <w:spacing w:val="10"/>
          <w:sz w:val="24"/>
          <w:szCs w:val="24"/>
        </w:rPr>
        <w:t xml:space="preserve"> </w:t>
      </w:r>
      <w:r>
        <w:rPr>
          <w:rFonts w:hint="eastAsia" w:ascii="宋体" w:hAnsi="宋体" w:cs="宋体"/>
          <w:b/>
          <w:bCs/>
          <w:spacing w:val="10"/>
          <w:sz w:val="24"/>
          <w:szCs w:val="24"/>
        </w:rPr>
        <w:t>系</w:t>
      </w:r>
      <w:r>
        <w:rPr>
          <w:rFonts w:ascii="宋体" w:hAnsi="宋体" w:cs="宋体"/>
          <w:b/>
          <w:bCs/>
          <w:spacing w:val="10"/>
          <w:sz w:val="24"/>
          <w:szCs w:val="24"/>
        </w:rPr>
        <w:t xml:space="preserve"> </w:t>
      </w:r>
      <w:r>
        <w:rPr>
          <w:rFonts w:hint="eastAsia" w:ascii="宋体" w:hAnsi="宋体" w:cs="宋体"/>
          <w:b/>
          <w:bCs/>
          <w:spacing w:val="10"/>
          <w:sz w:val="24"/>
          <w:szCs w:val="24"/>
        </w:rPr>
        <w:t>人：</w:t>
      </w:r>
      <w:r>
        <w:rPr>
          <w:rFonts w:hint="eastAsia" w:ascii="宋体" w:hAnsi="宋体" w:cs="宋体"/>
          <w:spacing w:val="10"/>
          <w:sz w:val="24"/>
          <w:szCs w:val="24"/>
          <w:lang w:eastAsia="zh-CN"/>
        </w:rPr>
        <w:t>申伟</w:t>
      </w:r>
    </w:p>
    <w:p>
      <w:pPr>
        <w:widowControl/>
        <w:spacing w:line="360" w:lineRule="auto"/>
        <w:ind w:firstLine="522" w:firstLineChars="200"/>
        <w:rPr>
          <w:rFonts w:hint="default" w:ascii="宋体" w:eastAsia="宋体"/>
          <w:spacing w:val="10"/>
          <w:sz w:val="24"/>
          <w:szCs w:val="24"/>
          <w:lang w:val="en-US" w:eastAsia="zh-CN"/>
        </w:rPr>
      </w:pPr>
      <w:r>
        <w:rPr>
          <w:rFonts w:hint="eastAsia" w:ascii="宋体" w:hAnsi="宋体" w:cs="宋体"/>
          <w:b/>
          <w:bCs/>
          <w:spacing w:val="10"/>
          <w:sz w:val="24"/>
          <w:szCs w:val="24"/>
        </w:rPr>
        <w:t>联系电话：</w:t>
      </w:r>
      <w:r>
        <w:rPr>
          <w:rFonts w:hint="eastAsia" w:ascii="宋体" w:hAnsi="宋体" w:cs="宋体"/>
          <w:spacing w:val="10"/>
          <w:sz w:val="24"/>
          <w:szCs w:val="24"/>
          <w:highlight w:val="none"/>
          <w:lang w:val="en-US" w:eastAsia="zh-CN"/>
        </w:rPr>
        <w:t>17374559561</w:t>
      </w:r>
    </w:p>
    <w:p>
      <w:pPr>
        <w:pStyle w:val="3"/>
        <w:snapToGrid/>
        <w:spacing w:line="360" w:lineRule="auto"/>
        <w:rPr>
          <w:rFonts w:ascii="宋体" w:hAnsi="宋体" w:eastAsia="宋体" w:cs="Times New Roman"/>
          <w:spacing w:val="10"/>
          <w:sz w:val="24"/>
          <w:szCs w:val="24"/>
        </w:rPr>
      </w:pPr>
      <w:bookmarkStart w:id="10" w:name="_Toc20382"/>
      <w:bookmarkStart w:id="11" w:name="_Toc256000005"/>
      <w:r>
        <w:rPr>
          <w:rFonts w:hint="eastAsia" w:ascii="宋体" w:hAnsi="宋体" w:eastAsia="宋体" w:cs="宋体"/>
          <w:spacing w:val="10"/>
          <w:sz w:val="24"/>
          <w:szCs w:val="24"/>
        </w:rPr>
        <w:t>二、房地产估价机构</w:t>
      </w:r>
      <w:bookmarkEnd w:id="10"/>
      <w:bookmarkEnd w:id="11"/>
    </w:p>
    <w:p>
      <w:pPr>
        <w:spacing w:line="360" w:lineRule="auto"/>
        <w:ind w:firstLine="522" w:firstLineChars="200"/>
        <w:rPr>
          <w:rFonts w:ascii="宋体"/>
          <w:spacing w:val="10"/>
          <w:sz w:val="24"/>
          <w:szCs w:val="24"/>
        </w:rPr>
      </w:pPr>
      <w:r>
        <w:rPr>
          <w:rFonts w:hint="eastAsia" w:ascii="宋体" w:hAnsi="宋体" w:cs="宋体"/>
          <w:b/>
          <w:bCs/>
          <w:spacing w:val="10"/>
          <w:sz w:val="24"/>
          <w:szCs w:val="24"/>
        </w:rPr>
        <w:t>房地产估价机构：</w:t>
      </w:r>
      <w:r>
        <w:rPr>
          <w:rFonts w:hint="eastAsia" w:ascii="宋体" w:hAnsi="宋体" w:cs="宋体"/>
          <w:spacing w:val="10"/>
          <w:sz w:val="24"/>
          <w:szCs w:val="24"/>
        </w:rPr>
        <w:t>湖南经典房地产评估咨询有限公司</w:t>
      </w:r>
    </w:p>
    <w:p>
      <w:pPr>
        <w:widowControl/>
        <w:spacing w:line="360" w:lineRule="auto"/>
        <w:ind w:firstLine="522" w:firstLineChars="200"/>
        <w:rPr>
          <w:rFonts w:ascii="宋体"/>
          <w:spacing w:val="10"/>
          <w:sz w:val="24"/>
          <w:szCs w:val="24"/>
        </w:rPr>
      </w:pPr>
      <w:r>
        <w:rPr>
          <w:rFonts w:hint="eastAsia" w:ascii="宋体" w:hAnsi="宋体" w:cs="宋体"/>
          <w:b/>
          <w:bCs/>
          <w:spacing w:val="10"/>
          <w:sz w:val="24"/>
          <w:szCs w:val="24"/>
        </w:rPr>
        <w:t>法定代表人</w:t>
      </w:r>
      <w:r>
        <w:rPr>
          <w:rFonts w:hint="eastAsia" w:ascii="宋体" w:hAnsi="宋体" w:cs="宋体"/>
          <w:spacing w:val="10"/>
          <w:sz w:val="24"/>
          <w:szCs w:val="24"/>
        </w:rPr>
        <w:t>：罗峰</w:t>
      </w:r>
    </w:p>
    <w:p>
      <w:pPr>
        <w:widowControl/>
        <w:spacing w:line="360" w:lineRule="auto"/>
        <w:ind w:firstLine="522" w:firstLineChars="200"/>
        <w:rPr>
          <w:rFonts w:ascii="宋体"/>
          <w:spacing w:val="10"/>
          <w:sz w:val="24"/>
          <w:szCs w:val="24"/>
        </w:rPr>
      </w:pPr>
      <w:r>
        <w:rPr>
          <w:rFonts w:hint="eastAsia" w:ascii="宋体" w:hAnsi="宋体" w:cs="宋体"/>
          <w:b/>
          <w:bCs/>
          <w:spacing w:val="10"/>
          <w:sz w:val="24"/>
          <w:szCs w:val="24"/>
        </w:rPr>
        <w:t>住</w:t>
      </w:r>
      <w:r>
        <w:rPr>
          <w:rFonts w:ascii="宋体" w:hAnsi="宋体" w:cs="宋体"/>
          <w:b/>
          <w:bCs/>
          <w:spacing w:val="10"/>
          <w:sz w:val="24"/>
          <w:szCs w:val="24"/>
        </w:rPr>
        <w:t xml:space="preserve">    </w:t>
      </w:r>
      <w:r>
        <w:rPr>
          <w:rFonts w:hint="eastAsia" w:ascii="宋体" w:hAnsi="宋体" w:cs="宋体"/>
          <w:b/>
          <w:bCs/>
          <w:spacing w:val="10"/>
          <w:sz w:val="24"/>
          <w:szCs w:val="24"/>
        </w:rPr>
        <w:t>所：</w:t>
      </w:r>
      <w:r>
        <w:rPr>
          <w:rFonts w:hint="eastAsia" w:ascii="宋体" w:hAnsi="宋体" w:cs="宋体"/>
          <w:spacing w:val="10"/>
          <w:sz w:val="24"/>
          <w:szCs w:val="24"/>
        </w:rPr>
        <w:t>长沙市芙蓉区芙蓉中路</w:t>
      </w:r>
      <w:r>
        <w:rPr>
          <w:rFonts w:ascii="宋体" w:hAnsi="宋体" w:cs="宋体"/>
          <w:spacing w:val="10"/>
          <w:sz w:val="24"/>
          <w:szCs w:val="24"/>
        </w:rPr>
        <w:t>80</w:t>
      </w:r>
      <w:r>
        <w:rPr>
          <w:rFonts w:hint="eastAsia" w:ascii="宋体" w:hAnsi="宋体" w:cs="宋体"/>
          <w:spacing w:val="10"/>
          <w:sz w:val="24"/>
          <w:szCs w:val="24"/>
        </w:rPr>
        <w:t>号顺天财富中心</w:t>
      </w:r>
      <w:r>
        <w:rPr>
          <w:rFonts w:ascii="宋体" w:hAnsi="宋体" w:cs="宋体"/>
          <w:spacing w:val="10"/>
          <w:sz w:val="24"/>
          <w:szCs w:val="24"/>
        </w:rPr>
        <w:t>16</w:t>
      </w:r>
      <w:r>
        <w:rPr>
          <w:rFonts w:hint="eastAsia" w:ascii="宋体" w:hAnsi="宋体" w:cs="宋体"/>
          <w:spacing w:val="10"/>
          <w:sz w:val="24"/>
          <w:szCs w:val="24"/>
        </w:rPr>
        <w:t>楼</w:t>
      </w:r>
    </w:p>
    <w:p>
      <w:pPr>
        <w:spacing w:line="360" w:lineRule="auto"/>
        <w:ind w:firstLine="522" w:firstLineChars="200"/>
        <w:rPr>
          <w:rFonts w:ascii="宋体"/>
          <w:spacing w:val="10"/>
          <w:sz w:val="24"/>
          <w:szCs w:val="24"/>
        </w:rPr>
      </w:pPr>
      <w:r>
        <w:rPr>
          <w:rFonts w:hint="eastAsia" w:ascii="宋体" w:hAnsi="宋体" w:cs="宋体"/>
          <w:b/>
          <w:bCs/>
          <w:spacing w:val="10"/>
          <w:sz w:val="24"/>
          <w:szCs w:val="24"/>
        </w:rPr>
        <w:t>备案等级：</w:t>
      </w:r>
      <w:r>
        <w:rPr>
          <w:rFonts w:hint="eastAsia" w:ascii="宋体" w:hAnsi="宋体" w:cs="宋体"/>
          <w:spacing w:val="10"/>
          <w:sz w:val="24"/>
          <w:szCs w:val="24"/>
        </w:rPr>
        <w:t>原一级资质</w:t>
      </w:r>
    </w:p>
    <w:p>
      <w:pPr>
        <w:spacing w:line="360" w:lineRule="auto"/>
        <w:ind w:firstLine="522" w:firstLineChars="200"/>
        <w:rPr>
          <w:rFonts w:ascii="宋体"/>
          <w:spacing w:val="10"/>
          <w:sz w:val="24"/>
          <w:szCs w:val="24"/>
        </w:rPr>
      </w:pPr>
      <w:r>
        <w:rPr>
          <w:rFonts w:hint="eastAsia" w:ascii="宋体" w:hAnsi="宋体" w:cs="宋体"/>
          <w:b/>
          <w:bCs/>
          <w:spacing w:val="10"/>
          <w:sz w:val="24"/>
          <w:szCs w:val="24"/>
        </w:rPr>
        <w:t>备案证书编号</w:t>
      </w:r>
      <w:r>
        <w:rPr>
          <w:rFonts w:hint="eastAsia" w:ascii="宋体" w:hAnsi="宋体" w:cs="宋体"/>
          <w:spacing w:val="10"/>
          <w:sz w:val="24"/>
          <w:szCs w:val="24"/>
        </w:rPr>
        <w:t>：湘建房估</w:t>
      </w:r>
      <w:r>
        <w:rPr>
          <w:rFonts w:ascii="宋体" w:hAnsi="宋体" w:cs="宋体"/>
          <w:spacing w:val="10"/>
          <w:sz w:val="24"/>
          <w:szCs w:val="24"/>
        </w:rPr>
        <w:t>(</w:t>
      </w:r>
      <w:r>
        <w:rPr>
          <w:rFonts w:hint="eastAsia" w:ascii="宋体" w:hAnsi="宋体" w:cs="宋体"/>
          <w:spacing w:val="10"/>
          <w:sz w:val="24"/>
          <w:szCs w:val="24"/>
        </w:rPr>
        <w:t>长</w:t>
      </w:r>
      <w:r>
        <w:rPr>
          <w:rFonts w:ascii="宋体" w:hAnsi="宋体" w:cs="宋体"/>
          <w:spacing w:val="10"/>
          <w:sz w:val="24"/>
          <w:szCs w:val="24"/>
        </w:rPr>
        <w:t>)</w:t>
      </w:r>
      <w:r>
        <w:rPr>
          <w:rFonts w:hint="eastAsia" w:ascii="宋体" w:hAnsi="宋体" w:cs="宋体"/>
          <w:spacing w:val="10"/>
          <w:sz w:val="24"/>
          <w:szCs w:val="24"/>
        </w:rPr>
        <w:t>字第</w:t>
      </w:r>
      <w:r>
        <w:rPr>
          <w:rFonts w:ascii="宋体" w:hAnsi="宋体" w:cs="宋体"/>
          <w:spacing w:val="10"/>
          <w:sz w:val="24"/>
          <w:szCs w:val="24"/>
        </w:rPr>
        <w:t>0110008</w:t>
      </w:r>
      <w:r>
        <w:rPr>
          <w:rFonts w:hint="eastAsia" w:ascii="宋体" w:hAnsi="宋体" w:cs="宋体"/>
          <w:spacing w:val="10"/>
          <w:sz w:val="24"/>
          <w:szCs w:val="24"/>
        </w:rPr>
        <w:t>号</w:t>
      </w:r>
    </w:p>
    <w:p>
      <w:pPr>
        <w:widowControl/>
        <w:snapToGrid w:val="0"/>
        <w:spacing w:line="480" w:lineRule="exact"/>
        <w:ind w:firstLine="482" w:firstLineChars="200"/>
        <w:rPr>
          <w:rFonts w:ascii="宋体"/>
          <w:sz w:val="24"/>
          <w:szCs w:val="24"/>
        </w:rPr>
      </w:pPr>
      <w:r>
        <w:rPr>
          <w:rFonts w:hint="eastAsia" w:ascii="宋体" w:hAnsi="宋体" w:cs="宋体"/>
          <w:b/>
          <w:bCs/>
          <w:sz w:val="24"/>
          <w:szCs w:val="24"/>
        </w:rPr>
        <w:t>营业执照统一社会信用代码</w:t>
      </w:r>
      <w:r>
        <w:rPr>
          <w:rFonts w:hint="eastAsia" w:ascii="宋体" w:hAnsi="宋体" w:cs="宋体"/>
          <w:sz w:val="24"/>
          <w:szCs w:val="24"/>
        </w:rPr>
        <w:t>：</w:t>
      </w:r>
      <w:r>
        <w:rPr>
          <w:rFonts w:ascii="宋体" w:hAnsi="宋体" w:cs="宋体"/>
          <w:sz w:val="24"/>
          <w:szCs w:val="24"/>
        </w:rPr>
        <w:t>914301027808945858</w:t>
      </w:r>
    </w:p>
    <w:p>
      <w:pPr>
        <w:spacing w:line="360" w:lineRule="auto"/>
        <w:ind w:firstLine="522" w:firstLineChars="200"/>
        <w:rPr>
          <w:rFonts w:ascii="宋体"/>
          <w:spacing w:val="10"/>
          <w:sz w:val="24"/>
          <w:szCs w:val="24"/>
        </w:rPr>
      </w:pPr>
      <w:r>
        <w:rPr>
          <w:rFonts w:hint="eastAsia" w:ascii="宋体" w:hAnsi="宋体" w:cs="宋体"/>
          <w:b/>
          <w:bCs/>
          <w:spacing w:val="10"/>
          <w:sz w:val="24"/>
          <w:szCs w:val="24"/>
        </w:rPr>
        <w:t>联系电话</w:t>
      </w:r>
      <w:r>
        <w:rPr>
          <w:rFonts w:hint="eastAsia" w:ascii="宋体" w:hAnsi="宋体" w:cs="宋体"/>
          <w:spacing w:val="10"/>
          <w:sz w:val="24"/>
          <w:szCs w:val="24"/>
        </w:rPr>
        <w:t>：</w:t>
      </w:r>
      <w:r>
        <w:rPr>
          <w:rFonts w:ascii="宋体" w:hAnsi="宋体" w:cs="宋体"/>
          <w:spacing w:val="10"/>
          <w:sz w:val="24"/>
          <w:szCs w:val="24"/>
        </w:rPr>
        <w:t>0731-84455233</w:t>
      </w:r>
    </w:p>
    <w:p>
      <w:pPr>
        <w:pStyle w:val="3"/>
        <w:snapToGrid/>
        <w:spacing w:line="360" w:lineRule="auto"/>
        <w:rPr>
          <w:rFonts w:ascii="宋体" w:eastAsia="宋体" w:cs="Times New Roman"/>
          <w:b w:val="0"/>
          <w:bCs w:val="0"/>
          <w:spacing w:val="10"/>
          <w:sz w:val="24"/>
          <w:szCs w:val="24"/>
        </w:rPr>
      </w:pPr>
      <w:bookmarkStart w:id="12" w:name="_Toc256000006"/>
      <w:bookmarkStart w:id="13" w:name="_Toc26782"/>
      <w:r>
        <w:rPr>
          <w:rFonts w:hint="eastAsia" w:ascii="宋体" w:hAnsi="宋体" w:eastAsia="宋体" w:cs="宋体"/>
          <w:spacing w:val="10"/>
          <w:sz w:val="24"/>
          <w:szCs w:val="24"/>
        </w:rPr>
        <w:t>三、估价目的</w:t>
      </w:r>
      <w:bookmarkEnd w:id="12"/>
      <w:bookmarkEnd w:id="13"/>
    </w:p>
    <w:p>
      <w:pPr>
        <w:spacing w:line="360" w:lineRule="auto"/>
        <w:ind w:firstLine="520" w:firstLineChars="200"/>
        <w:rPr>
          <w:spacing w:val="10"/>
          <w:sz w:val="24"/>
          <w:szCs w:val="24"/>
        </w:rPr>
      </w:pPr>
      <w:r>
        <w:rPr>
          <w:rFonts w:hint="eastAsia" w:ascii="宋体" w:hAnsi="宋体" w:cs="宋体"/>
          <w:spacing w:val="10"/>
          <w:sz w:val="24"/>
          <w:szCs w:val="24"/>
        </w:rPr>
        <w:t>为估价委托人司法办案提供参考依据而评估房地产市场价值</w:t>
      </w:r>
      <w:r>
        <w:rPr>
          <w:rFonts w:hint="eastAsia" w:cs="宋体"/>
          <w:spacing w:val="10"/>
          <w:sz w:val="24"/>
          <w:szCs w:val="24"/>
        </w:rPr>
        <w:t>。</w:t>
      </w:r>
    </w:p>
    <w:p>
      <w:pPr>
        <w:pStyle w:val="3"/>
        <w:snapToGrid/>
        <w:spacing w:line="360" w:lineRule="auto"/>
        <w:rPr>
          <w:rFonts w:ascii="宋体" w:eastAsia="宋体" w:cs="Times New Roman"/>
          <w:b w:val="0"/>
          <w:bCs w:val="0"/>
          <w:spacing w:val="10"/>
          <w:sz w:val="24"/>
          <w:szCs w:val="24"/>
        </w:rPr>
      </w:pPr>
      <w:bookmarkStart w:id="14" w:name="_Toc609"/>
      <w:bookmarkStart w:id="15" w:name="_Toc256000007"/>
      <w:r>
        <w:rPr>
          <w:rFonts w:hint="eastAsia" w:ascii="宋体" w:hAnsi="宋体" w:eastAsia="宋体" w:cs="宋体"/>
          <w:spacing w:val="10"/>
          <w:sz w:val="24"/>
          <w:szCs w:val="24"/>
        </w:rPr>
        <w:t>四、估价对象</w:t>
      </w:r>
      <w:bookmarkEnd w:id="14"/>
      <w:bookmarkEnd w:id="15"/>
    </w:p>
    <w:p>
      <w:pPr>
        <w:widowControl/>
        <w:spacing w:line="360" w:lineRule="auto"/>
        <w:ind w:left="568" w:firstLine="130" w:firstLineChars="50"/>
        <w:rPr>
          <w:rFonts w:ascii="宋体"/>
          <w:spacing w:val="10"/>
          <w:sz w:val="24"/>
          <w:szCs w:val="24"/>
        </w:rPr>
      </w:pPr>
      <w:r>
        <w:rPr>
          <w:rFonts w:ascii="宋体" w:hAnsi="宋体" w:cs="宋体"/>
          <w:spacing w:val="10"/>
          <w:sz w:val="24"/>
          <w:szCs w:val="24"/>
        </w:rPr>
        <w:t>1</w:t>
      </w:r>
      <w:r>
        <w:rPr>
          <w:rFonts w:hint="eastAsia" w:ascii="宋体" w:hAnsi="宋体" w:cs="宋体"/>
          <w:spacing w:val="10"/>
          <w:sz w:val="24"/>
          <w:szCs w:val="24"/>
        </w:rPr>
        <w:t>、估价对象财产范围</w:t>
      </w:r>
    </w:p>
    <w:p>
      <w:pPr>
        <w:spacing w:line="360" w:lineRule="auto"/>
        <w:ind w:firstLine="480" w:firstLineChars="200"/>
        <w:rPr>
          <w:rFonts w:ascii="宋体"/>
          <w:spacing w:val="10"/>
          <w:sz w:val="24"/>
          <w:szCs w:val="24"/>
        </w:rPr>
      </w:pPr>
      <w:r>
        <w:rPr>
          <w:rFonts w:hint="eastAsia" w:cs="宋体"/>
          <w:sz w:val="24"/>
          <w:szCs w:val="24"/>
        </w:rPr>
        <w:t>估价对象</w:t>
      </w:r>
      <w:r>
        <w:rPr>
          <w:rFonts w:hint="eastAsia" w:ascii="宋体" w:hAnsi="宋体" w:cs="宋体"/>
          <w:spacing w:val="10"/>
          <w:sz w:val="24"/>
          <w:szCs w:val="24"/>
          <w:lang w:val="zh-CN"/>
        </w:rPr>
        <w:t>为</w:t>
      </w:r>
      <w:r>
        <w:rPr>
          <w:rFonts w:hint="eastAsia" w:ascii="宋体" w:hAnsi="宋体" w:cs="宋体"/>
          <w:spacing w:val="10"/>
          <w:sz w:val="24"/>
          <w:szCs w:val="24"/>
          <w:lang w:eastAsia="zh-CN"/>
        </w:rPr>
        <w:t>湖南怀化工业园区和安家园南区01幢101、02幢104、105号商业用房，01幢305、02幢305、306号住宅用房</w:t>
      </w:r>
      <w:r>
        <w:rPr>
          <w:rFonts w:hint="eastAsia" w:ascii="宋体" w:hAnsi="宋体" w:cs="宋体"/>
          <w:sz w:val="24"/>
          <w:szCs w:val="24"/>
        </w:rPr>
        <w:t>。估价范围包括估价对象房屋</w:t>
      </w:r>
      <w:r>
        <w:rPr>
          <w:rFonts w:hint="eastAsia" w:ascii="宋体" w:hAnsi="宋体" w:cs="宋体"/>
          <w:sz w:val="24"/>
          <w:szCs w:val="24"/>
          <w:lang w:eastAsia="zh-CN"/>
        </w:rPr>
        <w:t>（含室内装修）</w:t>
      </w:r>
      <w:r>
        <w:rPr>
          <w:rFonts w:hint="eastAsia" w:ascii="宋体" w:hAnsi="宋体" w:cs="宋体"/>
          <w:sz w:val="24"/>
          <w:szCs w:val="24"/>
        </w:rPr>
        <w:t>及其占用范围内的土地。</w:t>
      </w:r>
    </w:p>
    <w:p>
      <w:pPr>
        <w:widowControl/>
        <w:spacing w:line="360" w:lineRule="auto"/>
        <w:ind w:firstLine="650" w:firstLineChars="250"/>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、估价对象基本状况</w:t>
      </w:r>
    </w:p>
    <w:p>
      <w:pPr>
        <w:tabs>
          <w:tab w:val="left" w:pos="0"/>
        </w:tabs>
        <w:spacing w:line="360" w:lineRule="auto"/>
        <w:ind w:left="107" w:leftChars="51" w:firstLine="522" w:firstLineChars="201"/>
        <w:rPr>
          <w:sz w:val="24"/>
          <w:szCs w:val="24"/>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）名称：</w:t>
      </w:r>
      <w:r>
        <w:rPr>
          <w:rFonts w:hint="eastAsia" w:cs="宋体"/>
          <w:sz w:val="24"/>
          <w:szCs w:val="24"/>
          <w:lang w:eastAsia="zh-CN"/>
        </w:rPr>
        <w:t>秦方、秦军</w:t>
      </w:r>
      <w:r>
        <w:rPr>
          <w:rFonts w:hint="eastAsia" w:cs="宋体"/>
          <w:sz w:val="24"/>
          <w:szCs w:val="24"/>
        </w:rPr>
        <w:t>单独所有的房产</w:t>
      </w:r>
    </w:p>
    <w:p>
      <w:pPr>
        <w:tabs>
          <w:tab w:val="left" w:pos="0"/>
        </w:tabs>
        <w:spacing w:line="360" w:lineRule="auto"/>
        <w:ind w:left="107" w:leftChars="51" w:firstLine="522" w:firstLineChars="201"/>
        <w:rPr>
          <w:rFonts w:hint="eastAsia" w:ascii="宋体" w:eastAsia="宋体"/>
          <w:spacing w:val="10"/>
          <w:sz w:val="24"/>
          <w:szCs w:val="24"/>
          <w:lang w:eastAsia="zh-CN"/>
        </w:rPr>
      </w:pPr>
      <w:r>
        <w:rPr>
          <w:rFonts w:hint="eastAsia" w:ascii="宋体" w:hAnsi="宋体" w:cs="宋体"/>
          <w:spacing w:val="10"/>
          <w:sz w:val="24"/>
          <w:szCs w:val="24"/>
        </w:rPr>
        <w:t>（</w:t>
      </w:r>
      <w:r>
        <w:rPr>
          <w:rFonts w:ascii="宋体" w:hAnsi="宋体" w:cs="宋体"/>
          <w:spacing w:val="10"/>
          <w:sz w:val="24"/>
          <w:szCs w:val="24"/>
        </w:rPr>
        <w:t>2</w:t>
      </w:r>
      <w:r>
        <w:rPr>
          <w:rFonts w:hint="eastAsia" w:ascii="宋体" w:hAnsi="宋体" w:cs="宋体"/>
          <w:spacing w:val="10"/>
          <w:sz w:val="24"/>
          <w:szCs w:val="24"/>
        </w:rPr>
        <w:t>）坐落：</w:t>
      </w:r>
      <w:r>
        <w:rPr>
          <w:rFonts w:hint="eastAsia" w:ascii="宋体" w:hAnsi="宋体" w:cs="宋体"/>
          <w:spacing w:val="10"/>
          <w:sz w:val="24"/>
          <w:szCs w:val="24"/>
          <w:lang w:eastAsia="zh-CN"/>
        </w:rPr>
        <w:t>湖南怀化工业园区和安家园南区01幢101、02幢104、105号商业用房，01幢305、02幢305、306号住宅用房</w:t>
      </w:r>
    </w:p>
    <w:p>
      <w:pPr>
        <w:tabs>
          <w:tab w:val="left" w:pos="0"/>
        </w:tabs>
        <w:spacing w:line="360" w:lineRule="auto"/>
        <w:ind w:left="107" w:leftChars="51" w:firstLine="522" w:firstLineChars="201"/>
        <w:rPr>
          <w:rFonts w:hint="default" w:ascii="宋体" w:eastAsia="宋体"/>
          <w:spacing w:val="10"/>
          <w:sz w:val="24"/>
          <w:szCs w:val="24"/>
          <w:lang w:val="en-US" w:eastAsia="zh-CN"/>
        </w:rPr>
      </w:pPr>
      <w:r>
        <w:rPr>
          <w:rFonts w:hint="eastAsia" w:ascii="宋体" w:hAnsi="宋体" w:cs="宋体"/>
          <w:spacing w:val="10"/>
          <w:sz w:val="24"/>
          <w:szCs w:val="24"/>
        </w:rPr>
        <w:t>（</w:t>
      </w:r>
      <w:r>
        <w:rPr>
          <w:rFonts w:ascii="宋体" w:hAnsi="宋体" w:cs="宋体"/>
          <w:spacing w:val="10"/>
          <w:sz w:val="24"/>
          <w:szCs w:val="24"/>
        </w:rPr>
        <w:t>3</w:t>
      </w:r>
      <w:r>
        <w:rPr>
          <w:rFonts w:hint="eastAsia" w:ascii="宋体" w:hAnsi="宋体" w:cs="宋体"/>
          <w:spacing w:val="10"/>
          <w:sz w:val="24"/>
          <w:szCs w:val="24"/>
        </w:rPr>
        <w:t>）规模：估价对象为</w:t>
      </w:r>
      <w:r>
        <w:rPr>
          <w:rFonts w:hint="eastAsia" w:ascii="宋体" w:hAnsi="宋体" w:cs="宋体"/>
          <w:spacing w:val="10"/>
          <w:sz w:val="24"/>
          <w:szCs w:val="24"/>
          <w:lang w:eastAsia="zh-CN"/>
        </w:rPr>
        <w:t>两栋</w:t>
      </w:r>
      <w:r>
        <w:rPr>
          <w:rFonts w:ascii="宋体" w:hAnsi="宋体" w:cs="宋体"/>
          <w:spacing w:val="10"/>
          <w:sz w:val="24"/>
          <w:szCs w:val="24"/>
        </w:rPr>
        <w:t>6</w:t>
      </w:r>
      <w:r>
        <w:rPr>
          <w:rFonts w:hint="eastAsia" w:ascii="宋体" w:hAnsi="宋体" w:cs="宋体"/>
          <w:spacing w:val="10"/>
          <w:sz w:val="24"/>
          <w:szCs w:val="24"/>
        </w:rPr>
        <w:t>层的</w:t>
      </w:r>
      <w:r>
        <w:rPr>
          <w:rFonts w:hint="eastAsia" w:ascii="宋体" w:hAnsi="宋体" w:cs="宋体"/>
          <w:spacing w:val="10"/>
          <w:sz w:val="24"/>
          <w:szCs w:val="24"/>
          <w:lang w:eastAsia="zh-CN"/>
        </w:rPr>
        <w:t>商住楼</w:t>
      </w:r>
      <w:r>
        <w:rPr>
          <w:rFonts w:hint="eastAsia" w:ascii="宋体" w:hAnsi="宋体" w:cs="宋体"/>
          <w:spacing w:val="10"/>
          <w:sz w:val="24"/>
          <w:szCs w:val="24"/>
        </w:rPr>
        <w:t>，</w:t>
      </w:r>
      <w:r>
        <w:rPr>
          <w:rFonts w:hint="eastAsia" w:ascii="宋体" w:hAnsi="宋体" w:cs="宋体"/>
          <w:spacing w:val="10"/>
          <w:sz w:val="24"/>
          <w:szCs w:val="24"/>
          <w:lang w:val="en-US" w:eastAsia="zh-CN"/>
        </w:rPr>
        <w:t>01幢101号、02幢104、105号商业用房</w:t>
      </w:r>
      <w:r>
        <w:rPr>
          <w:rFonts w:hint="eastAsia" w:ascii="宋体" w:hAnsi="宋体" w:cs="宋体"/>
          <w:spacing w:val="10"/>
          <w:sz w:val="24"/>
          <w:szCs w:val="24"/>
        </w:rPr>
        <w:t>所在楼层为</w:t>
      </w:r>
      <w:r>
        <w:rPr>
          <w:rFonts w:ascii="宋体" w:hAnsi="宋体" w:cs="宋体"/>
          <w:spacing w:val="10"/>
          <w:sz w:val="24"/>
          <w:szCs w:val="24"/>
        </w:rPr>
        <w:t>1</w:t>
      </w:r>
      <w:r>
        <w:rPr>
          <w:rFonts w:hint="eastAsia" w:ascii="宋体" w:hAnsi="宋体" w:cs="宋体"/>
          <w:spacing w:val="10"/>
          <w:sz w:val="24"/>
          <w:szCs w:val="24"/>
        </w:rPr>
        <w:t>层</w:t>
      </w:r>
      <w:r>
        <w:rPr>
          <w:rFonts w:hint="eastAsia" w:ascii="宋体" w:hAnsi="宋体" w:cs="宋体"/>
          <w:spacing w:val="10"/>
          <w:sz w:val="24"/>
          <w:szCs w:val="24"/>
          <w:lang w:eastAsia="zh-CN"/>
        </w:rPr>
        <w:t>，建筑面积皆为</w:t>
      </w:r>
      <w:r>
        <w:rPr>
          <w:rFonts w:hint="eastAsia" w:ascii="宋体" w:hAnsi="宋体" w:cs="宋体"/>
          <w:spacing w:val="10"/>
          <w:sz w:val="24"/>
          <w:szCs w:val="24"/>
          <w:lang w:val="en-US" w:eastAsia="zh-CN"/>
        </w:rPr>
        <w:t>40.09平方米，</w:t>
      </w:r>
      <w:r>
        <w:rPr>
          <w:rFonts w:ascii="宋体" w:hAnsi="宋体" w:cs="宋体"/>
          <w:spacing w:val="10"/>
          <w:sz w:val="24"/>
          <w:szCs w:val="24"/>
        </w:rPr>
        <w:t>1</w:t>
      </w:r>
      <w:r>
        <w:rPr>
          <w:rFonts w:hint="eastAsia" w:ascii="宋体" w:hAnsi="宋体" w:cs="宋体"/>
          <w:spacing w:val="10"/>
          <w:sz w:val="24"/>
          <w:szCs w:val="24"/>
        </w:rPr>
        <w:t>层层高为</w:t>
      </w:r>
      <w:r>
        <w:rPr>
          <w:rFonts w:hint="eastAsia" w:ascii="宋体" w:hAnsi="宋体" w:cs="宋体"/>
          <w:spacing w:val="10"/>
          <w:sz w:val="24"/>
          <w:szCs w:val="24"/>
          <w:lang w:val="en-US" w:eastAsia="zh-CN"/>
        </w:rPr>
        <w:t>4</w:t>
      </w:r>
      <w:r>
        <w:rPr>
          <w:rFonts w:hint="eastAsia" w:ascii="宋体" w:hAnsi="宋体" w:cs="宋体"/>
          <w:spacing w:val="10"/>
          <w:sz w:val="24"/>
          <w:szCs w:val="24"/>
        </w:rPr>
        <w:t>米</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01幢305号住宅用房所在楼层为3层，建筑面积为96.42平方米，层高为3米；02幢305号住宅用房所在楼层为3层，建筑面积为96.42平方米，层高为3米；02幢306号住宅用房所在楼层为3层，建筑面积为96.53平方米，层高为3米。</w:t>
      </w:r>
    </w:p>
    <w:p>
      <w:pPr>
        <w:widowControl/>
        <w:spacing w:line="360" w:lineRule="auto"/>
        <w:ind w:firstLine="650" w:firstLineChars="250"/>
        <w:rPr>
          <w:rFonts w:hint="eastAsia" w:ascii="宋体" w:eastAsia="宋体"/>
          <w:spacing w:val="10"/>
          <w:sz w:val="24"/>
          <w:szCs w:val="24"/>
          <w:lang w:val="en-US" w:eastAsia="zh-CN"/>
        </w:rPr>
      </w:pPr>
      <w:r>
        <w:rPr>
          <w:rFonts w:hint="eastAsia" w:ascii="宋体" w:hAnsi="宋体" w:cs="宋体"/>
          <w:spacing w:val="10"/>
          <w:sz w:val="24"/>
          <w:szCs w:val="24"/>
        </w:rPr>
        <w:t>（</w:t>
      </w:r>
      <w:r>
        <w:rPr>
          <w:rFonts w:ascii="宋体" w:hAnsi="宋体" w:cs="宋体"/>
          <w:spacing w:val="10"/>
          <w:sz w:val="24"/>
          <w:szCs w:val="24"/>
        </w:rPr>
        <w:t>4</w:t>
      </w:r>
      <w:r>
        <w:rPr>
          <w:rFonts w:hint="eastAsia" w:ascii="宋体" w:hAnsi="宋体" w:cs="宋体"/>
          <w:spacing w:val="10"/>
          <w:sz w:val="24"/>
          <w:szCs w:val="24"/>
        </w:rPr>
        <w:t>）用途：</w:t>
      </w:r>
      <w:r>
        <w:rPr>
          <w:rFonts w:hint="eastAsia" w:ascii="宋体" w:hAnsi="宋体" w:cs="宋体"/>
          <w:spacing w:val="10"/>
          <w:sz w:val="24"/>
          <w:szCs w:val="24"/>
          <w:lang w:eastAsia="zh-CN"/>
        </w:rPr>
        <w:t>商业、住宅</w:t>
      </w:r>
    </w:p>
    <w:p>
      <w:pPr>
        <w:widowControl/>
        <w:spacing w:line="360" w:lineRule="auto"/>
        <w:ind w:firstLine="650" w:firstLineChars="25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5</w:t>
      </w:r>
      <w:r>
        <w:rPr>
          <w:rFonts w:hint="eastAsia" w:ascii="宋体" w:hAnsi="宋体" w:cs="宋体"/>
          <w:spacing w:val="10"/>
          <w:sz w:val="24"/>
          <w:szCs w:val="24"/>
        </w:rPr>
        <w:t>）权属；</w:t>
      </w:r>
      <w:r>
        <w:rPr>
          <w:rFonts w:hint="eastAsia" w:ascii="宋体" w:hAnsi="宋体" w:cs="宋体"/>
          <w:spacing w:val="10"/>
          <w:sz w:val="24"/>
          <w:szCs w:val="24"/>
          <w:lang w:eastAsia="zh-CN"/>
        </w:rPr>
        <w:t>尚未提供</w:t>
      </w:r>
      <w:r>
        <w:rPr>
          <w:rFonts w:hint="eastAsia" w:ascii="宋体" w:hAnsi="宋体" w:cs="宋体"/>
          <w:spacing w:val="10"/>
          <w:sz w:val="24"/>
          <w:szCs w:val="24"/>
        </w:rPr>
        <w:t>估价对象不动产权证，房屋的权属状况见下表：</w:t>
      </w:r>
    </w:p>
    <w:p>
      <w:pPr>
        <w:autoSpaceDE w:val="0"/>
        <w:autoSpaceDN w:val="0"/>
        <w:adjustRightInd w:val="0"/>
        <w:spacing w:line="360" w:lineRule="auto"/>
        <w:jc w:val="center"/>
        <w:rPr>
          <w:rFonts w:hint="eastAsia" w:ascii="宋体" w:hAnsi="宋体" w:cs="宋体"/>
          <w:b/>
          <w:bCs/>
          <w:spacing w:val="10"/>
          <w:sz w:val="24"/>
          <w:szCs w:val="24"/>
        </w:rPr>
      </w:pPr>
      <w:r>
        <w:rPr>
          <w:rFonts w:hint="eastAsia" w:ascii="宋体" w:hAnsi="宋体" w:cs="宋体"/>
          <w:b/>
          <w:bCs/>
          <w:spacing w:val="10"/>
          <w:sz w:val="24"/>
          <w:szCs w:val="24"/>
        </w:rPr>
        <w:t>房屋权益一览表</w:t>
      </w:r>
    </w:p>
    <w:p>
      <w:pPr>
        <w:widowControl/>
        <w:spacing w:line="360" w:lineRule="auto"/>
        <w:rPr>
          <w:rFonts w:hint="eastAsia" w:ascii="宋体" w:hAnsi="宋体" w:cs="宋体"/>
          <w:spacing w:val="10"/>
          <w:sz w:val="24"/>
          <w:szCs w:val="24"/>
          <w:lang w:eastAsia="zh-CN"/>
        </w:rPr>
      </w:pPr>
      <w:r>
        <w:rPr>
          <w:rFonts w:hint="eastAsia" w:ascii="宋体" w:hAnsi="宋体" w:cs="宋体"/>
          <w:spacing w:val="10"/>
          <w:sz w:val="24"/>
          <w:szCs w:val="24"/>
          <w:lang w:eastAsia="zh-CN"/>
        </w:rPr>
        <w:t>秦方所有房屋：</w:t>
      </w:r>
    </w:p>
    <w:tbl>
      <w:tblPr>
        <w:tblStyle w:val="40"/>
        <w:tblW w:w="8648" w:type="dxa"/>
        <w:jc w:val="center"/>
        <w:tblInd w:w="0" w:type="dxa"/>
        <w:tblLayout w:type="fixed"/>
        <w:tblCellMar>
          <w:top w:w="0" w:type="dxa"/>
          <w:left w:w="108" w:type="dxa"/>
          <w:bottom w:w="0" w:type="dxa"/>
          <w:right w:w="108" w:type="dxa"/>
        </w:tblCellMar>
      </w:tblPr>
      <w:tblGrid>
        <w:gridCol w:w="534"/>
        <w:gridCol w:w="1059"/>
        <w:gridCol w:w="867"/>
        <w:gridCol w:w="867"/>
        <w:gridCol w:w="624"/>
        <w:gridCol w:w="496"/>
        <w:gridCol w:w="855"/>
        <w:gridCol w:w="858"/>
        <w:gridCol w:w="1036"/>
        <w:gridCol w:w="726"/>
        <w:gridCol w:w="726"/>
      </w:tblGrid>
      <w:tr>
        <w:tblPrEx>
          <w:tblLayout w:type="fixed"/>
          <w:tblCellMar>
            <w:top w:w="0" w:type="dxa"/>
            <w:left w:w="108" w:type="dxa"/>
            <w:bottom w:w="0" w:type="dxa"/>
            <w:right w:w="108" w:type="dxa"/>
          </w:tblCellMar>
        </w:tblPrEx>
        <w:trPr>
          <w:trHeight w:val="480"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105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86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867"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6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49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85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103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登记用途</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r>
      <w:tr>
        <w:tblPrEx>
          <w:tblLayout w:type="fixed"/>
          <w:tblCellMar>
            <w:top w:w="0" w:type="dxa"/>
            <w:left w:w="108" w:type="dxa"/>
            <w:bottom w:w="0" w:type="dxa"/>
            <w:right w:w="108" w:type="dxa"/>
          </w:tblCellMar>
        </w:tblPrEx>
        <w:trPr>
          <w:trHeight w:val="42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秦方</w:t>
            </w:r>
          </w:p>
        </w:tc>
        <w:tc>
          <w:tcPr>
            <w:tcW w:w="867"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101</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72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r>
      <w:tr>
        <w:tblPrEx>
          <w:tblLayout w:type="fixed"/>
          <w:tblCellMar>
            <w:top w:w="0" w:type="dxa"/>
            <w:left w:w="108" w:type="dxa"/>
            <w:bottom w:w="0" w:type="dxa"/>
            <w:right w:w="108" w:type="dxa"/>
          </w:tblCellMar>
        </w:tblPrEx>
        <w:trPr>
          <w:trHeight w:val="36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2</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8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商业</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3</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709000249</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8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val="en-US" w:eastAsia="zh-CN"/>
              </w:rPr>
            </w:pPr>
            <w:r>
              <w:rPr>
                <w:rFonts w:hint="eastAsia" w:ascii="宋体"/>
                <w:color w:val="000000"/>
                <w:kern w:val="0"/>
                <w:sz w:val="20"/>
                <w:szCs w:val="20"/>
                <w:lang w:val="en-US"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住宅</w:t>
            </w:r>
          </w:p>
        </w:tc>
      </w:tr>
      <w:tr>
        <w:tblPrEx>
          <w:tblLayout w:type="fixed"/>
          <w:tblCellMar>
            <w:top w:w="0" w:type="dxa"/>
            <w:left w:w="108" w:type="dxa"/>
            <w:bottom w:w="0" w:type="dxa"/>
            <w:right w:w="108" w:type="dxa"/>
          </w:tblCellMar>
        </w:tblPrEx>
        <w:trPr>
          <w:trHeight w:val="39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4</w:t>
            </w:r>
          </w:p>
        </w:tc>
        <w:tc>
          <w:tcPr>
            <w:tcW w:w="1059"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color w:val="000000"/>
                <w:kern w:val="0"/>
                <w:sz w:val="20"/>
                <w:szCs w:val="20"/>
                <w:lang w:val="en-US" w:eastAsia="zh-CN"/>
              </w:rPr>
              <w:t>709000249</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8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306</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96.53</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105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867"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867"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4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273.13</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r>
    </w:tbl>
    <w:p>
      <w:pPr>
        <w:widowControl/>
        <w:spacing w:line="360" w:lineRule="auto"/>
        <w:rPr>
          <w:rFonts w:hint="eastAsia" w:ascii="宋体" w:hAnsi="宋体" w:cs="宋体"/>
          <w:spacing w:val="10"/>
          <w:sz w:val="24"/>
          <w:szCs w:val="24"/>
          <w:lang w:eastAsia="zh-CN"/>
        </w:rPr>
      </w:pPr>
      <w:r>
        <w:rPr>
          <w:rFonts w:hint="eastAsia" w:ascii="宋体" w:hAnsi="宋体" w:cs="宋体"/>
          <w:spacing w:val="10"/>
          <w:sz w:val="24"/>
          <w:szCs w:val="24"/>
          <w:lang w:eastAsia="zh-CN"/>
        </w:rPr>
        <w:t>秦军所有房屋：</w:t>
      </w:r>
    </w:p>
    <w:tbl>
      <w:tblPr>
        <w:tblStyle w:val="40"/>
        <w:tblW w:w="8648" w:type="dxa"/>
        <w:jc w:val="center"/>
        <w:tblInd w:w="0" w:type="dxa"/>
        <w:tblLayout w:type="fixed"/>
        <w:tblCellMar>
          <w:top w:w="0" w:type="dxa"/>
          <w:left w:w="108" w:type="dxa"/>
          <w:bottom w:w="0" w:type="dxa"/>
          <w:right w:w="108" w:type="dxa"/>
        </w:tblCellMar>
      </w:tblPr>
      <w:tblGrid>
        <w:gridCol w:w="534"/>
        <w:gridCol w:w="1059"/>
        <w:gridCol w:w="867"/>
        <w:gridCol w:w="867"/>
        <w:gridCol w:w="624"/>
        <w:gridCol w:w="496"/>
        <w:gridCol w:w="855"/>
        <w:gridCol w:w="858"/>
        <w:gridCol w:w="1036"/>
        <w:gridCol w:w="726"/>
        <w:gridCol w:w="726"/>
      </w:tblGrid>
      <w:tr>
        <w:tblPrEx>
          <w:tblLayout w:type="fixed"/>
          <w:tblCellMar>
            <w:top w:w="0" w:type="dxa"/>
            <w:left w:w="108" w:type="dxa"/>
            <w:bottom w:w="0" w:type="dxa"/>
            <w:right w:w="108" w:type="dxa"/>
          </w:tblCellMar>
        </w:tblPrEx>
        <w:trPr>
          <w:trHeight w:val="480"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105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86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867"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6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49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85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103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登记用途</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r>
      <w:tr>
        <w:tblPrEx>
          <w:tblLayout w:type="fixed"/>
          <w:tblCellMar>
            <w:top w:w="0" w:type="dxa"/>
            <w:left w:w="108" w:type="dxa"/>
            <w:bottom w:w="0" w:type="dxa"/>
            <w:right w:w="108" w:type="dxa"/>
          </w:tblCellMar>
        </w:tblPrEx>
        <w:trPr>
          <w:trHeight w:val="33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1</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714000060</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867" w:type="dxa"/>
            <w:vMerge w:val="restart"/>
            <w:tcBorders>
              <w:top w:val="nil"/>
              <w:left w:val="single" w:color="auto"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104</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72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2</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714000061</w:t>
            </w:r>
          </w:p>
        </w:tc>
        <w:tc>
          <w:tcPr>
            <w:tcW w:w="867"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867"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住宅</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105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867"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867"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4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136.51</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r>
    </w:tbl>
    <w:p>
      <w:pPr>
        <w:tabs>
          <w:tab w:val="left" w:pos="0"/>
        </w:tabs>
        <w:spacing w:line="360" w:lineRule="auto"/>
        <w:ind w:firstLine="520" w:firstLineChars="200"/>
        <w:rPr>
          <w:rFonts w:ascii="宋体"/>
          <w:sz w:val="24"/>
          <w:szCs w:val="24"/>
        </w:rPr>
      </w:pPr>
      <w:r>
        <w:rPr>
          <w:rFonts w:ascii="宋体" w:hAnsi="宋体" w:cs="宋体"/>
          <w:spacing w:val="10"/>
          <w:sz w:val="24"/>
          <w:szCs w:val="24"/>
        </w:rPr>
        <w:t>3.</w:t>
      </w:r>
      <w:r>
        <w:rPr>
          <w:rFonts w:hint="eastAsia" w:ascii="宋体" w:hAnsi="宋体" w:cs="宋体"/>
          <w:spacing w:val="10"/>
          <w:sz w:val="24"/>
          <w:szCs w:val="24"/>
        </w:rPr>
        <w:t>土地基本状况</w:t>
      </w:r>
      <w:r>
        <w:rPr>
          <w:rFonts w:hint="eastAsia" w:ascii="宋体" w:hAnsi="宋体" w:cs="宋体"/>
          <w:kern w:val="0"/>
          <w:sz w:val="24"/>
          <w:szCs w:val="24"/>
        </w:rPr>
        <w:t>（四至、形状、开发程度、土地使用期限）：</w:t>
      </w:r>
    </w:p>
    <w:p>
      <w:pPr>
        <w:tabs>
          <w:tab w:val="left" w:pos="0"/>
        </w:tabs>
        <w:spacing w:line="360" w:lineRule="auto"/>
        <w:ind w:firstLine="480" w:firstLineChars="200"/>
        <w:rPr>
          <w:rFonts w:ascii="宋体"/>
          <w:sz w:val="24"/>
          <w:szCs w:val="24"/>
        </w:rPr>
      </w:pPr>
      <w:r>
        <w:rPr>
          <w:rFonts w:hint="eastAsia" w:ascii="宋体" w:hAnsi="宋体" w:cs="宋体"/>
          <w:sz w:val="24"/>
          <w:szCs w:val="24"/>
        </w:rPr>
        <w:t>估价对象四至为：</w:t>
      </w:r>
      <w:r>
        <w:rPr>
          <w:rFonts w:hint="eastAsia" w:ascii="宋体" w:hAnsi="宋体" w:cs="宋体"/>
          <w:sz w:val="24"/>
          <w:szCs w:val="24"/>
          <w:lang w:eastAsia="zh-CN"/>
        </w:rPr>
        <w:t>东面临商住楼</w:t>
      </w:r>
      <w:r>
        <w:rPr>
          <w:rFonts w:hint="eastAsia" w:ascii="宋体" w:hAnsi="宋体" w:cs="宋体"/>
          <w:sz w:val="24"/>
          <w:szCs w:val="24"/>
        </w:rPr>
        <w:t>，</w:t>
      </w:r>
      <w:r>
        <w:rPr>
          <w:rFonts w:hint="eastAsia" w:ascii="宋体" w:hAnsi="宋体" w:cs="宋体"/>
          <w:sz w:val="24"/>
          <w:szCs w:val="24"/>
          <w:lang w:eastAsia="zh-CN"/>
        </w:rPr>
        <w:t>南面临商住楼</w:t>
      </w:r>
      <w:r>
        <w:rPr>
          <w:rFonts w:hint="eastAsia" w:ascii="宋体" w:hAnsi="宋体" w:cs="宋体"/>
          <w:spacing w:val="10"/>
          <w:sz w:val="24"/>
          <w:szCs w:val="24"/>
        </w:rPr>
        <w:t>，</w:t>
      </w:r>
      <w:r>
        <w:rPr>
          <w:rFonts w:hint="eastAsia" w:ascii="宋体" w:hAnsi="宋体" w:cs="宋体"/>
          <w:spacing w:val="10"/>
          <w:sz w:val="24"/>
          <w:szCs w:val="24"/>
          <w:lang w:eastAsia="zh-CN"/>
        </w:rPr>
        <w:t>西面临华盛宾馆</w:t>
      </w:r>
      <w:r>
        <w:rPr>
          <w:rFonts w:hint="eastAsia" w:ascii="宋体" w:hAnsi="宋体" w:cs="宋体"/>
          <w:spacing w:val="10"/>
          <w:sz w:val="24"/>
          <w:szCs w:val="24"/>
        </w:rPr>
        <w:t>，</w:t>
      </w:r>
      <w:r>
        <w:rPr>
          <w:rFonts w:hint="eastAsia" w:ascii="宋体" w:hAnsi="宋体" w:cs="宋体"/>
          <w:spacing w:val="10"/>
          <w:sz w:val="24"/>
          <w:szCs w:val="24"/>
          <w:lang w:eastAsia="zh-CN"/>
        </w:rPr>
        <w:t>北面临财富路</w:t>
      </w:r>
      <w:r>
        <w:rPr>
          <w:rFonts w:hint="eastAsia" w:ascii="宋体" w:hAnsi="宋体" w:cs="宋体"/>
          <w:sz w:val="24"/>
          <w:szCs w:val="24"/>
        </w:rPr>
        <w:t>。该区域基础配套设施为“五通”（通路、通电、供水、排水、通讯），商业繁华度</w:t>
      </w:r>
      <w:r>
        <w:rPr>
          <w:rFonts w:hint="eastAsia" w:ascii="宋体" w:hAnsi="宋体" w:cs="宋体"/>
          <w:sz w:val="24"/>
          <w:szCs w:val="24"/>
          <w:lang w:eastAsia="zh-CN"/>
        </w:rPr>
        <w:t>较好</w:t>
      </w:r>
      <w:r>
        <w:rPr>
          <w:rFonts w:hint="eastAsia" w:ascii="宋体" w:hAnsi="宋体" w:cs="宋体"/>
          <w:sz w:val="24"/>
          <w:szCs w:val="24"/>
        </w:rPr>
        <w:t>，有公交车及的士通达该地，交通便捷度较好。</w:t>
      </w:r>
    </w:p>
    <w:p>
      <w:pPr>
        <w:tabs>
          <w:tab w:val="left" w:pos="0"/>
        </w:tabs>
        <w:spacing w:line="440" w:lineRule="exact"/>
        <w:ind w:firstLine="520" w:firstLineChars="200"/>
        <w:rPr>
          <w:rFonts w:ascii="宋体"/>
          <w:spacing w:val="10"/>
          <w:sz w:val="24"/>
          <w:szCs w:val="24"/>
        </w:rPr>
      </w:pPr>
      <w:r>
        <w:rPr>
          <w:rFonts w:hint="eastAsia" w:ascii="宋体" w:hAnsi="宋体" w:cs="宋体"/>
          <w:spacing w:val="10"/>
          <w:sz w:val="24"/>
          <w:szCs w:val="24"/>
        </w:rPr>
        <w:t>怀化地处雪峰山山脉的南端向湘西丘陵山地过渡地带，地形为丘陵，估价对象所在宗地形状为规整矩形，地势平坦，地质结构主要由砂砾岩、粉砂岩、砾岩及板岩等岩层组成。土壤以板页岩风化物为主，夹有红土、砂砾岩等土壤。估价对象土地开发程度：五通一平。不受水文状况影响、地基承载力达到规定要求，符合规划限制条件。</w:t>
      </w:r>
    </w:p>
    <w:p>
      <w:pPr>
        <w:widowControl/>
        <w:spacing w:line="360" w:lineRule="auto"/>
        <w:ind w:firstLine="650" w:firstLineChars="250"/>
        <w:rPr>
          <w:rFonts w:ascii="宋体"/>
          <w:spacing w:val="10"/>
          <w:sz w:val="24"/>
          <w:szCs w:val="24"/>
        </w:rPr>
      </w:pPr>
      <w:r>
        <w:rPr>
          <w:rFonts w:ascii="宋体" w:hAnsi="宋体" w:cs="宋体"/>
          <w:spacing w:val="10"/>
          <w:sz w:val="24"/>
          <w:szCs w:val="24"/>
        </w:rPr>
        <w:t xml:space="preserve">4. </w:t>
      </w:r>
      <w:r>
        <w:rPr>
          <w:rFonts w:hint="eastAsia" w:ascii="宋体" w:hAnsi="宋体" w:cs="宋体"/>
          <w:spacing w:val="10"/>
          <w:sz w:val="24"/>
          <w:szCs w:val="24"/>
        </w:rPr>
        <w:t>建筑物基本状况：（必须包括建成时间（新旧程度）、建筑结构、设施设备、装饰装修、维护状况）</w:t>
      </w:r>
    </w:p>
    <w:p>
      <w:pPr>
        <w:widowControl/>
        <w:spacing w:line="360" w:lineRule="auto"/>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）建筑规模与建筑结构情况：估价对象房屋为</w:t>
      </w:r>
      <w:r>
        <w:rPr>
          <w:rFonts w:hint="eastAsia" w:ascii="宋体" w:hAnsi="宋体" w:cs="宋体"/>
          <w:sz w:val="24"/>
          <w:szCs w:val="24"/>
          <w:lang w:eastAsia="zh-CN"/>
        </w:rPr>
        <w:t>混合</w:t>
      </w:r>
      <w:r>
        <w:rPr>
          <w:rFonts w:hint="eastAsia" w:ascii="宋体" w:hAnsi="宋体" w:cs="宋体"/>
          <w:sz w:val="24"/>
          <w:szCs w:val="24"/>
        </w:rPr>
        <w:t>结构</w:t>
      </w:r>
      <w:r>
        <w:rPr>
          <w:rFonts w:hint="eastAsia" w:ascii="宋体" w:hAnsi="宋体" w:cs="宋体"/>
          <w:sz w:val="24"/>
          <w:szCs w:val="24"/>
          <w:lang w:eastAsia="zh-CN"/>
        </w:rPr>
        <w:t>的商住楼</w:t>
      </w:r>
      <w:r>
        <w:rPr>
          <w:rFonts w:hint="eastAsia" w:ascii="宋体" w:hAnsi="宋体" w:cs="宋体"/>
          <w:sz w:val="24"/>
          <w:szCs w:val="24"/>
        </w:rPr>
        <w:t>，</w:t>
      </w:r>
      <w:r>
        <w:rPr>
          <w:rFonts w:hint="eastAsia" w:ascii="宋体" w:hAnsi="宋体" w:cs="宋体"/>
          <w:sz w:val="24"/>
          <w:szCs w:val="24"/>
          <w:lang w:eastAsia="zh-CN"/>
        </w:rPr>
        <w:t>共</w:t>
      </w:r>
      <w:r>
        <w:rPr>
          <w:rFonts w:hint="eastAsia" w:ascii="宋体" w:hAnsi="宋体" w:cs="宋体"/>
          <w:sz w:val="24"/>
          <w:szCs w:val="24"/>
          <w:lang w:val="en-US" w:eastAsia="zh-CN"/>
        </w:rPr>
        <w:t>6层，</w:t>
      </w:r>
      <w:r>
        <w:rPr>
          <w:rFonts w:hint="eastAsia" w:ascii="宋体" w:hAnsi="宋体" w:cs="宋体"/>
          <w:sz w:val="24"/>
          <w:szCs w:val="24"/>
        </w:rPr>
        <w:t>建于</w:t>
      </w:r>
      <w:r>
        <w:rPr>
          <w:rFonts w:ascii="宋体" w:hAnsi="宋体" w:cs="宋体"/>
          <w:sz w:val="24"/>
          <w:szCs w:val="24"/>
        </w:rPr>
        <w:t>20</w:t>
      </w:r>
      <w:r>
        <w:rPr>
          <w:rFonts w:hint="eastAsia" w:ascii="宋体" w:hAnsi="宋体" w:cs="宋体"/>
          <w:sz w:val="24"/>
          <w:szCs w:val="24"/>
          <w:lang w:val="en-US" w:eastAsia="zh-CN"/>
        </w:rPr>
        <w:t>08</w:t>
      </w:r>
      <w:r>
        <w:rPr>
          <w:rFonts w:hint="eastAsia" w:ascii="宋体" w:hAnsi="宋体" w:cs="宋体"/>
          <w:sz w:val="24"/>
          <w:szCs w:val="24"/>
        </w:rPr>
        <w:t>年，南北朝向，</w:t>
      </w:r>
      <w:r>
        <w:rPr>
          <w:rFonts w:ascii="宋体" w:hAnsi="宋体" w:cs="宋体"/>
          <w:spacing w:val="10"/>
          <w:sz w:val="24"/>
          <w:szCs w:val="24"/>
        </w:rPr>
        <w:t>1</w:t>
      </w:r>
      <w:r>
        <w:rPr>
          <w:rFonts w:hint="eastAsia" w:ascii="宋体" w:hAnsi="宋体" w:cs="宋体"/>
          <w:spacing w:val="10"/>
          <w:sz w:val="24"/>
          <w:szCs w:val="24"/>
        </w:rPr>
        <w:t>层</w:t>
      </w:r>
      <w:r>
        <w:rPr>
          <w:rFonts w:hint="eastAsia" w:ascii="宋体" w:hAnsi="宋体" w:cs="宋体"/>
          <w:spacing w:val="10"/>
          <w:sz w:val="24"/>
          <w:szCs w:val="24"/>
          <w:lang w:eastAsia="zh-CN"/>
        </w:rPr>
        <w:t>商业用房（</w:t>
      </w:r>
      <w:r>
        <w:rPr>
          <w:rFonts w:hint="eastAsia" w:ascii="宋体" w:hAnsi="宋体" w:cs="宋体"/>
          <w:spacing w:val="10"/>
          <w:sz w:val="24"/>
          <w:szCs w:val="24"/>
          <w:lang w:val="en-US" w:eastAsia="zh-CN"/>
        </w:rPr>
        <w:t>01幢101；02幢305、306）</w:t>
      </w:r>
      <w:r>
        <w:rPr>
          <w:rFonts w:hint="eastAsia" w:ascii="宋体" w:hAnsi="宋体" w:cs="宋体"/>
          <w:spacing w:val="10"/>
          <w:sz w:val="24"/>
          <w:szCs w:val="24"/>
        </w:rPr>
        <w:t>层高约</w:t>
      </w:r>
      <w:r>
        <w:rPr>
          <w:rFonts w:hint="eastAsia" w:ascii="宋体" w:hAnsi="宋体" w:cs="宋体"/>
          <w:spacing w:val="10"/>
          <w:sz w:val="24"/>
          <w:szCs w:val="24"/>
          <w:lang w:val="en-US" w:eastAsia="zh-CN"/>
        </w:rPr>
        <w:t>4</w:t>
      </w:r>
      <w:r>
        <w:rPr>
          <w:rFonts w:hint="eastAsia" w:ascii="宋体" w:hAnsi="宋体" w:cs="宋体"/>
          <w:spacing w:val="10"/>
          <w:sz w:val="24"/>
          <w:szCs w:val="24"/>
        </w:rPr>
        <w:t>米</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3层住宅用房（01幢305；02幢305、306号）层高3米；</w:t>
      </w:r>
      <w:r>
        <w:rPr>
          <w:rFonts w:hint="eastAsia" w:ascii="宋体" w:hAnsi="宋体" w:cs="宋体"/>
          <w:sz w:val="24"/>
          <w:szCs w:val="24"/>
        </w:rPr>
        <w:t>房屋空间布局周正适用，采光通风良好，房屋维护使用情况较好；</w:t>
      </w:r>
      <w:r>
        <w:rPr>
          <w:rFonts w:ascii="宋体" w:hAnsi="宋体" w:cs="宋体"/>
          <w:sz w:val="24"/>
          <w:szCs w:val="24"/>
        </w:rPr>
        <w:t xml:space="preserve">      </w:t>
      </w:r>
    </w:p>
    <w:p>
      <w:pPr>
        <w:widowControl/>
        <w:spacing w:line="360" w:lineRule="auto"/>
        <w:ind w:firstLine="480" w:firstLineChars="200"/>
        <w:rPr>
          <w:rFonts w:ascii="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）设施设备情况：供水、排水、供电、照明、通讯等设施齐全且均能正常使用，估价对象于价值时点为完好房，室外公共配套设施完备程度一般。</w:t>
      </w:r>
    </w:p>
    <w:p>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）装饰装修情况：</w:t>
      </w:r>
    </w:p>
    <w:tbl>
      <w:tblPr>
        <w:tblStyle w:val="40"/>
        <w:tblW w:w="8626" w:type="dxa"/>
        <w:tblInd w:w="0" w:type="dxa"/>
        <w:tblLayout w:type="fixed"/>
        <w:tblCellMar>
          <w:top w:w="0" w:type="dxa"/>
          <w:left w:w="108" w:type="dxa"/>
          <w:bottom w:w="0" w:type="dxa"/>
          <w:right w:w="108" w:type="dxa"/>
        </w:tblCellMar>
      </w:tblPr>
      <w:tblGrid>
        <w:gridCol w:w="699"/>
        <w:gridCol w:w="1307"/>
        <w:gridCol w:w="591"/>
        <w:gridCol w:w="592"/>
        <w:gridCol w:w="2021"/>
        <w:gridCol w:w="3416"/>
      </w:tblGrid>
      <w:tr>
        <w:tblPrEx>
          <w:tblLayout w:type="fixed"/>
          <w:tblCellMar>
            <w:top w:w="0" w:type="dxa"/>
            <w:left w:w="108" w:type="dxa"/>
            <w:bottom w:w="0" w:type="dxa"/>
            <w:right w:w="108" w:type="dxa"/>
          </w:tblCellMar>
        </w:tblPrEx>
        <w:trPr>
          <w:trHeight w:val="285"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序号</w:t>
            </w:r>
          </w:p>
        </w:tc>
        <w:tc>
          <w:tcPr>
            <w:tcW w:w="1307" w:type="dxa"/>
            <w:tcBorders>
              <w:top w:val="single" w:color="auto" w:sz="4" w:space="0"/>
              <w:left w:val="nil"/>
              <w:bottom w:val="single" w:color="auto" w:sz="4" w:space="0"/>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房权证号</w:t>
            </w:r>
          </w:p>
        </w:tc>
        <w:tc>
          <w:tcPr>
            <w:tcW w:w="591" w:type="dxa"/>
            <w:tcBorders>
              <w:top w:val="single" w:color="auto" w:sz="4" w:space="0"/>
              <w:left w:val="nil"/>
              <w:bottom w:val="nil"/>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592" w:type="dxa"/>
            <w:tcBorders>
              <w:top w:val="single" w:color="auto" w:sz="4" w:space="0"/>
              <w:left w:val="nil"/>
              <w:bottom w:val="nil"/>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房号</w:t>
            </w:r>
          </w:p>
        </w:tc>
        <w:tc>
          <w:tcPr>
            <w:tcW w:w="2021" w:type="dxa"/>
            <w:tcBorders>
              <w:top w:val="single" w:color="auto" w:sz="4" w:space="0"/>
              <w:left w:val="nil"/>
              <w:bottom w:val="nil"/>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房屋坐落</w:t>
            </w:r>
          </w:p>
        </w:tc>
        <w:tc>
          <w:tcPr>
            <w:tcW w:w="3416" w:type="dxa"/>
            <w:tcBorders>
              <w:top w:val="single" w:color="auto" w:sz="4" w:space="0"/>
              <w:left w:val="nil"/>
              <w:bottom w:val="single" w:color="auto" w:sz="4" w:space="0"/>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装饰装修</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1</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709000248</w:t>
            </w:r>
          </w:p>
        </w:tc>
        <w:tc>
          <w:tcPr>
            <w:tcW w:w="591" w:type="dxa"/>
            <w:tcBorders>
              <w:top w:val="single" w:color="auto" w:sz="4" w:space="0"/>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01幢</w:t>
            </w:r>
          </w:p>
        </w:tc>
        <w:tc>
          <w:tcPr>
            <w:tcW w:w="592" w:type="dxa"/>
            <w:tcBorders>
              <w:top w:val="single" w:color="auto" w:sz="4" w:space="0"/>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cs="宋体"/>
                <w:color w:val="000000"/>
                <w:kern w:val="0"/>
                <w:sz w:val="20"/>
                <w:szCs w:val="20"/>
                <w:lang w:val="en-US" w:eastAsia="zh-CN"/>
              </w:rPr>
              <w:t>101</w:t>
            </w: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hAnsi="宋体" w:cs="宋体"/>
                <w:kern w:val="0"/>
                <w:sz w:val="20"/>
                <w:szCs w:val="20"/>
                <w:lang w:eastAsia="zh-CN"/>
              </w:rPr>
              <w:t>现使用状况为出租，出租店面名叫和安批发部，</w:t>
            </w:r>
            <w:r>
              <w:rPr>
                <w:rFonts w:hint="eastAsia" w:ascii="宋体" w:hAnsi="宋体" w:cs="宋体"/>
                <w:kern w:val="0"/>
                <w:sz w:val="20"/>
                <w:szCs w:val="20"/>
              </w:rPr>
              <w:t>层高约</w:t>
            </w:r>
            <w:r>
              <w:rPr>
                <w:rFonts w:hint="eastAsia" w:ascii="宋体" w:hAnsi="宋体" w:cs="宋体"/>
                <w:kern w:val="0"/>
                <w:sz w:val="20"/>
                <w:szCs w:val="20"/>
                <w:lang w:val="en-US" w:eastAsia="zh-CN"/>
              </w:rPr>
              <w:t>4</w:t>
            </w:r>
            <w:r>
              <w:rPr>
                <w:rFonts w:hint="eastAsia" w:ascii="宋体" w:hAnsi="宋体" w:cs="宋体"/>
                <w:kern w:val="0"/>
                <w:sz w:val="20"/>
                <w:szCs w:val="20"/>
              </w:rPr>
              <w:t>米，卷闸门，双灰粉，</w:t>
            </w:r>
            <w:r>
              <w:rPr>
                <w:rFonts w:hint="eastAsia" w:ascii="宋体" w:hAnsi="宋体" w:cs="宋体"/>
                <w:kern w:val="0"/>
                <w:sz w:val="20"/>
                <w:szCs w:val="20"/>
                <w:lang w:eastAsia="zh-CN"/>
              </w:rPr>
              <w:t>地面铺瓷砖</w:t>
            </w:r>
            <w:r>
              <w:rPr>
                <w:rFonts w:hint="eastAsia" w:ascii="宋体" w:hAnsi="宋体" w:cs="宋体"/>
                <w:kern w:val="0"/>
                <w:sz w:val="20"/>
                <w:szCs w:val="20"/>
              </w:rPr>
              <w:t>。</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2</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714000060</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02幢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104</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hAnsi="宋体" w:cs="宋体"/>
                <w:kern w:val="0"/>
                <w:sz w:val="20"/>
                <w:szCs w:val="20"/>
                <w:lang w:eastAsia="zh-CN"/>
              </w:rPr>
              <w:t>现使用状况为出租，出租店面名叫容声厨卫（空气能）</w:t>
            </w:r>
            <w:r>
              <w:rPr>
                <w:rFonts w:hint="eastAsia" w:ascii="宋体" w:hAnsi="宋体" w:cs="宋体"/>
                <w:kern w:val="0"/>
                <w:sz w:val="20"/>
                <w:szCs w:val="20"/>
              </w:rPr>
              <w:t>，层高约</w:t>
            </w:r>
            <w:r>
              <w:rPr>
                <w:rFonts w:hint="eastAsia" w:ascii="宋体" w:hAnsi="宋体" w:cs="宋体"/>
                <w:kern w:val="0"/>
                <w:sz w:val="20"/>
                <w:szCs w:val="20"/>
                <w:lang w:val="en-US" w:eastAsia="zh-CN"/>
              </w:rPr>
              <w:t>4</w:t>
            </w:r>
            <w:r>
              <w:rPr>
                <w:rFonts w:hint="eastAsia" w:ascii="宋体" w:hAnsi="宋体" w:cs="宋体"/>
                <w:kern w:val="0"/>
                <w:sz w:val="20"/>
                <w:szCs w:val="20"/>
              </w:rPr>
              <w:t>米，卷闸门，双灰粉，</w:t>
            </w:r>
            <w:r>
              <w:rPr>
                <w:rFonts w:hint="eastAsia" w:ascii="宋体" w:hAnsi="宋体" w:cs="宋体"/>
                <w:kern w:val="0"/>
                <w:sz w:val="20"/>
                <w:szCs w:val="20"/>
                <w:lang w:eastAsia="zh-CN"/>
              </w:rPr>
              <w:t>地面铺瓷砖</w:t>
            </w:r>
            <w:r>
              <w:rPr>
                <w:rFonts w:hint="eastAsia" w:ascii="宋体" w:hAnsi="宋体" w:cs="宋体"/>
                <w:kern w:val="0"/>
                <w:sz w:val="20"/>
                <w:szCs w:val="20"/>
              </w:rPr>
              <w:t>。</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3</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709000248</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02幢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105</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hAnsi="宋体" w:cs="宋体"/>
                <w:kern w:val="0"/>
                <w:sz w:val="20"/>
                <w:szCs w:val="20"/>
                <w:lang w:eastAsia="zh-CN"/>
              </w:rPr>
              <w:t>现使用状况为出租，出租店面名叫佳源通讯</w:t>
            </w:r>
            <w:r>
              <w:rPr>
                <w:rFonts w:hint="eastAsia" w:ascii="宋体" w:hAnsi="宋体" w:cs="宋体"/>
                <w:kern w:val="0"/>
                <w:sz w:val="20"/>
                <w:szCs w:val="20"/>
              </w:rPr>
              <w:t>，层高约</w:t>
            </w:r>
            <w:r>
              <w:rPr>
                <w:rFonts w:hint="eastAsia" w:ascii="宋体" w:hAnsi="宋体" w:cs="宋体"/>
                <w:kern w:val="0"/>
                <w:sz w:val="20"/>
                <w:szCs w:val="20"/>
                <w:lang w:val="en-US" w:eastAsia="zh-CN"/>
              </w:rPr>
              <w:t>4</w:t>
            </w:r>
            <w:r>
              <w:rPr>
                <w:rFonts w:hint="eastAsia" w:ascii="宋体" w:hAnsi="宋体" w:cs="宋体"/>
                <w:kern w:val="0"/>
                <w:sz w:val="20"/>
                <w:szCs w:val="20"/>
              </w:rPr>
              <w:t>米，卷闸门，双灰粉，</w:t>
            </w:r>
            <w:r>
              <w:rPr>
                <w:rFonts w:hint="eastAsia" w:ascii="宋体" w:hAnsi="宋体" w:cs="宋体"/>
                <w:kern w:val="0"/>
                <w:sz w:val="20"/>
                <w:szCs w:val="20"/>
                <w:lang w:eastAsia="zh-CN"/>
              </w:rPr>
              <w:t>地面铺瓷砖</w:t>
            </w:r>
            <w:r>
              <w:rPr>
                <w:rFonts w:hint="eastAsia" w:ascii="宋体" w:hAnsi="宋体" w:cs="宋体"/>
                <w:kern w:val="0"/>
                <w:sz w:val="20"/>
                <w:szCs w:val="20"/>
              </w:rPr>
              <w:t>。</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4</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714000061</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01幢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305</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hAnsi="宋体" w:cs="宋体"/>
                <w:kern w:val="0"/>
                <w:sz w:val="20"/>
                <w:szCs w:val="20"/>
                <w:lang w:eastAsia="zh-CN"/>
              </w:rPr>
              <w:t>三室一厅一厨一卫一厕</w:t>
            </w:r>
            <w:r>
              <w:rPr>
                <w:rFonts w:hint="eastAsia" w:ascii="宋体" w:hAnsi="宋体" w:cs="宋体"/>
                <w:kern w:val="0"/>
                <w:sz w:val="20"/>
                <w:szCs w:val="20"/>
              </w:rPr>
              <w:t>，层高约</w:t>
            </w:r>
            <w:r>
              <w:rPr>
                <w:rFonts w:hint="eastAsia" w:ascii="宋体" w:hAnsi="宋体" w:cs="宋体"/>
                <w:kern w:val="0"/>
                <w:sz w:val="20"/>
                <w:szCs w:val="20"/>
                <w:lang w:val="en-US" w:eastAsia="zh-CN"/>
              </w:rPr>
              <w:t>3</w:t>
            </w:r>
            <w:r>
              <w:rPr>
                <w:rFonts w:hint="eastAsia" w:ascii="宋体" w:hAnsi="宋体" w:cs="宋体"/>
                <w:kern w:val="0"/>
                <w:sz w:val="20"/>
                <w:szCs w:val="20"/>
              </w:rPr>
              <w:t>米，</w:t>
            </w:r>
            <w:r>
              <w:rPr>
                <w:rFonts w:hint="eastAsia" w:ascii="宋体" w:hAnsi="宋体" w:cs="宋体"/>
                <w:kern w:val="0"/>
                <w:sz w:val="20"/>
                <w:szCs w:val="20"/>
                <w:lang w:eastAsia="zh-CN"/>
              </w:rPr>
              <w:t>防盗门</w:t>
            </w:r>
            <w:r>
              <w:rPr>
                <w:rFonts w:hint="eastAsia" w:ascii="宋体" w:hAnsi="宋体" w:cs="宋体"/>
                <w:kern w:val="0"/>
                <w:sz w:val="20"/>
                <w:szCs w:val="20"/>
              </w:rPr>
              <w:t>，双灰粉，</w:t>
            </w:r>
            <w:r>
              <w:rPr>
                <w:rFonts w:hint="eastAsia" w:ascii="宋体" w:hAnsi="宋体" w:cs="宋体"/>
                <w:kern w:val="0"/>
                <w:sz w:val="20"/>
                <w:szCs w:val="20"/>
                <w:lang w:eastAsia="zh-CN"/>
              </w:rPr>
              <w:t>地面铺瓷砖，窗为铝合金窗</w:t>
            </w:r>
            <w:r>
              <w:rPr>
                <w:rFonts w:hint="eastAsia" w:ascii="宋体" w:hAnsi="宋体" w:cs="宋体"/>
                <w:kern w:val="0"/>
                <w:sz w:val="20"/>
                <w:szCs w:val="20"/>
              </w:rPr>
              <w:t>。</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5</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709000249</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02幢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305</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hint="eastAsia" w:ascii="宋体" w:eastAsia="宋体" w:cs="宋体"/>
                <w:kern w:val="0"/>
                <w:sz w:val="20"/>
                <w:szCs w:val="20"/>
                <w:lang w:eastAsia="zh-CN"/>
              </w:rPr>
            </w:pPr>
            <w:r>
              <w:rPr>
                <w:rFonts w:hint="eastAsia" w:ascii="宋体" w:cs="宋体"/>
                <w:kern w:val="0"/>
                <w:sz w:val="20"/>
                <w:szCs w:val="20"/>
                <w:lang w:eastAsia="zh-CN"/>
              </w:rPr>
              <w:t>未入室查勘，参照已现场查勘的</w:t>
            </w:r>
            <w:r>
              <w:rPr>
                <w:rFonts w:hint="eastAsia" w:ascii="宋体" w:cs="宋体"/>
                <w:kern w:val="0"/>
                <w:sz w:val="20"/>
                <w:szCs w:val="20"/>
                <w:lang w:val="en-US" w:eastAsia="zh-CN"/>
              </w:rPr>
              <w:t>01幢305号住宅</w:t>
            </w:r>
            <w:r>
              <w:rPr>
                <w:rFonts w:hint="eastAsia" w:ascii="宋体" w:cs="宋体"/>
                <w:kern w:val="0"/>
                <w:sz w:val="20"/>
                <w:szCs w:val="20"/>
                <w:lang w:eastAsia="zh-CN"/>
              </w:rPr>
              <w:t>，装修基本一致。</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6</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709000249</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02幢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306</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cs="宋体"/>
                <w:kern w:val="0"/>
                <w:sz w:val="20"/>
                <w:szCs w:val="20"/>
                <w:lang w:eastAsia="zh-CN"/>
              </w:rPr>
              <w:t>未入室查勘，参照已现场查勘的</w:t>
            </w:r>
            <w:r>
              <w:rPr>
                <w:rFonts w:hint="eastAsia" w:ascii="宋体" w:cs="宋体"/>
                <w:kern w:val="0"/>
                <w:sz w:val="20"/>
                <w:szCs w:val="20"/>
                <w:lang w:val="en-US" w:eastAsia="zh-CN"/>
              </w:rPr>
              <w:t>01幢305号住宅</w:t>
            </w:r>
            <w:r>
              <w:rPr>
                <w:rFonts w:hint="eastAsia" w:ascii="宋体" w:cs="宋体"/>
                <w:kern w:val="0"/>
                <w:sz w:val="20"/>
                <w:szCs w:val="20"/>
                <w:lang w:eastAsia="zh-CN"/>
              </w:rPr>
              <w:t>，装修基本一致。</w:t>
            </w:r>
          </w:p>
        </w:tc>
      </w:tr>
    </w:tbl>
    <w:p>
      <w:pPr>
        <w:pStyle w:val="3"/>
        <w:tabs>
          <w:tab w:val="left" w:pos="142"/>
          <w:tab w:val="left" w:pos="284"/>
          <w:tab w:val="left" w:pos="426"/>
        </w:tabs>
        <w:snapToGrid/>
        <w:spacing w:line="360" w:lineRule="auto"/>
        <w:rPr>
          <w:rFonts w:ascii="宋体" w:hAnsi="宋体" w:eastAsia="宋体" w:cs="Times New Roman"/>
          <w:b w:val="0"/>
          <w:bCs w:val="0"/>
          <w:spacing w:val="10"/>
          <w:sz w:val="24"/>
          <w:szCs w:val="24"/>
        </w:rPr>
      </w:pPr>
      <w:bookmarkStart w:id="16" w:name="_Toc256000008"/>
      <w:bookmarkStart w:id="17" w:name="_Toc25215"/>
      <w:r>
        <w:rPr>
          <w:rFonts w:hint="eastAsia" w:ascii="宋体" w:hAnsi="宋体" w:eastAsia="宋体" w:cs="宋体"/>
          <w:spacing w:val="10"/>
          <w:sz w:val="24"/>
          <w:szCs w:val="24"/>
        </w:rPr>
        <w:t>五、价值时点</w:t>
      </w:r>
      <w:bookmarkEnd w:id="16"/>
      <w:bookmarkEnd w:id="17"/>
    </w:p>
    <w:p>
      <w:pPr>
        <w:spacing w:line="360" w:lineRule="auto"/>
        <w:ind w:firstLine="509" w:firstLineChars="196"/>
        <w:rPr>
          <w:rFonts w:ascii="宋体"/>
          <w:spacing w:val="10"/>
          <w:sz w:val="24"/>
          <w:szCs w:val="24"/>
        </w:rPr>
      </w:pPr>
      <w:r>
        <w:rPr>
          <w:rFonts w:hint="eastAsia" w:ascii="宋体" w:hAnsi="宋体" w:cs="宋体"/>
          <w:spacing w:val="10"/>
          <w:sz w:val="24"/>
          <w:szCs w:val="24"/>
        </w:rPr>
        <w:t>根据本次评估目的，确定价值时点为</w:t>
      </w:r>
      <w:r>
        <w:rPr>
          <w:rFonts w:hint="eastAsia" w:ascii="宋体" w:hAnsi="宋体" w:cs="宋体"/>
          <w:spacing w:val="10"/>
          <w:sz w:val="24"/>
          <w:szCs w:val="24"/>
          <w:lang w:eastAsia="zh-CN"/>
        </w:rPr>
        <w:t>2019年</w:t>
      </w:r>
      <w:r>
        <w:rPr>
          <w:rFonts w:hint="eastAsia" w:ascii="宋体" w:hAnsi="宋体" w:cs="宋体"/>
          <w:spacing w:val="10"/>
          <w:sz w:val="24"/>
          <w:szCs w:val="24"/>
          <w:lang w:val="en-US" w:eastAsia="zh-CN"/>
        </w:rPr>
        <w:t>02</w:t>
      </w:r>
      <w:r>
        <w:rPr>
          <w:rFonts w:hint="eastAsia" w:ascii="宋体" w:hAnsi="宋体" w:cs="宋体"/>
          <w:spacing w:val="10"/>
          <w:sz w:val="24"/>
          <w:szCs w:val="24"/>
          <w:lang w:eastAsia="zh-CN"/>
        </w:rPr>
        <w:t>月</w:t>
      </w:r>
      <w:r>
        <w:rPr>
          <w:rFonts w:hint="eastAsia" w:ascii="宋体" w:hAnsi="宋体" w:cs="宋体"/>
          <w:spacing w:val="10"/>
          <w:sz w:val="24"/>
          <w:szCs w:val="24"/>
          <w:lang w:val="en-US" w:eastAsia="zh-CN"/>
        </w:rPr>
        <w:t>25</w:t>
      </w:r>
      <w:r>
        <w:rPr>
          <w:rFonts w:hint="eastAsia" w:ascii="宋体" w:hAnsi="宋体" w:cs="宋体"/>
          <w:spacing w:val="10"/>
          <w:sz w:val="24"/>
          <w:szCs w:val="24"/>
          <w:lang w:eastAsia="zh-CN"/>
        </w:rPr>
        <w:t>日</w:t>
      </w:r>
      <w:r>
        <w:rPr>
          <w:rFonts w:hint="eastAsia" w:ascii="宋体" w:hAnsi="宋体" w:cs="宋体"/>
          <w:spacing w:val="10"/>
          <w:sz w:val="24"/>
          <w:szCs w:val="24"/>
        </w:rPr>
        <w:t>。</w:t>
      </w:r>
      <w:bookmarkStart w:id="18" w:name="_Toc256000009"/>
      <w:bookmarkStart w:id="19" w:name="_Toc26338"/>
    </w:p>
    <w:p>
      <w:pPr>
        <w:pStyle w:val="3"/>
        <w:tabs>
          <w:tab w:val="left" w:pos="142"/>
          <w:tab w:val="left" w:pos="284"/>
          <w:tab w:val="left" w:pos="426"/>
        </w:tabs>
        <w:snapToGrid/>
        <w:spacing w:line="360" w:lineRule="auto"/>
        <w:rPr>
          <w:rFonts w:ascii="宋体" w:eastAsia="宋体" w:cs="Times New Roman"/>
          <w:spacing w:val="10"/>
          <w:sz w:val="24"/>
          <w:szCs w:val="24"/>
        </w:rPr>
      </w:pPr>
      <w:r>
        <w:rPr>
          <w:rFonts w:hint="eastAsia" w:ascii="宋体" w:hAnsi="宋体" w:eastAsia="宋体" w:cs="宋体"/>
          <w:spacing w:val="10"/>
          <w:sz w:val="24"/>
          <w:szCs w:val="24"/>
        </w:rPr>
        <w:t>六、价值类型</w:t>
      </w:r>
      <w:bookmarkEnd w:id="18"/>
      <w:bookmarkEnd w:id="19"/>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本次评估为估价对象房地产市场价值。是指估价对象经适当营销，由熟悉情况、谨慎行事且没有被迫的交易双方，以公平交易方式在价值日期自愿进行交易的金额。</w:t>
      </w:r>
    </w:p>
    <w:p>
      <w:pPr>
        <w:pStyle w:val="3"/>
        <w:snapToGrid/>
        <w:spacing w:line="360" w:lineRule="auto"/>
        <w:rPr>
          <w:rFonts w:ascii="宋体" w:hAnsi="宋体" w:eastAsia="宋体" w:cs="Times New Roman"/>
          <w:spacing w:val="10"/>
          <w:sz w:val="24"/>
          <w:szCs w:val="24"/>
        </w:rPr>
      </w:pPr>
      <w:bookmarkStart w:id="20" w:name="_Toc9397"/>
      <w:bookmarkStart w:id="21" w:name="_Toc256000010"/>
      <w:r>
        <w:rPr>
          <w:rFonts w:hint="eastAsia" w:ascii="宋体" w:hAnsi="宋体" w:eastAsia="宋体" w:cs="宋体"/>
          <w:spacing w:val="10"/>
          <w:sz w:val="24"/>
          <w:szCs w:val="24"/>
        </w:rPr>
        <w:t>七、估价原则</w:t>
      </w:r>
      <w:bookmarkEnd w:id="20"/>
      <w:bookmarkEnd w:id="21"/>
    </w:p>
    <w:p>
      <w:pPr>
        <w:widowControl/>
        <w:spacing w:line="360" w:lineRule="auto"/>
        <w:ind w:firstLine="520" w:firstLineChars="200"/>
        <w:rPr>
          <w:rFonts w:ascii="宋体"/>
          <w:spacing w:val="10"/>
          <w:sz w:val="24"/>
          <w:szCs w:val="24"/>
        </w:rPr>
      </w:pPr>
      <w:bookmarkStart w:id="22" w:name="_Toc256000011"/>
      <w:bookmarkStart w:id="23" w:name="_Toc7868"/>
      <w:r>
        <w:rPr>
          <w:rFonts w:hint="eastAsia" w:ascii="宋体" w:hAnsi="宋体" w:cs="宋体"/>
          <w:spacing w:val="10"/>
          <w:sz w:val="24"/>
          <w:szCs w:val="24"/>
        </w:rPr>
        <w:t>房地产估价遵循独立、客观、公正、合法等。具体有如下几点：</w:t>
      </w:r>
    </w:p>
    <w:p>
      <w:pPr>
        <w:widowControl/>
        <w:spacing w:line="360" w:lineRule="auto"/>
        <w:ind w:firstLine="520" w:firstLineChars="200"/>
        <w:rPr>
          <w:rFonts w:ascii="宋体"/>
          <w:spacing w:val="10"/>
          <w:sz w:val="24"/>
          <w:szCs w:val="24"/>
        </w:rPr>
      </w:pPr>
      <w:r>
        <w:rPr>
          <w:rFonts w:ascii="宋体" w:hAnsi="宋体" w:cs="宋体"/>
          <w:spacing w:val="10"/>
          <w:sz w:val="24"/>
          <w:szCs w:val="24"/>
        </w:rPr>
        <w:t>1.</w:t>
      </w:r>
      <w:r>
        <w:t xml:space="preserve"> </w:t>
      </w:r>
      <w:r>
        <w:rPr>
          <w:rFonts w:hint="eastAsia" w:ascii="宋体" w:hAnsi="宋体" w:cs="宋体"/>
          <w:spacing w:val="10"/>
          <w:sz w:val="24"/>
          <w:szCs w:val="24"/>
        </w:rPr>
        <w:t>独立、客观、公正原则：要求注册房地产估价师和房地产估价机构站在中立的立场上，实事求是、公平正直地评估出对各方估价利害关系人均是公平合理的价值或价格的原则。</w:t>
      </w:r>
    </w:p>
    <w:p>
      <w:pPr>
        <w:widowControl/>
        <w:spacing w:line="360" w:lineRule="auto"/>
        <w:ind w:firstLine="520" w:firstLineChars="200"/>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合法原则：要求估价结果是在依法判定的估价对象状况下的价值或价格的原则。</w:t>
      </w:r>
    </w:p>
    <w:p>
      <w:pPr>
        <w:widowControl/>
        <w:spacing w:line="360" w:lineRule="auto"/>
        <w:ind w:firstLine="520" w:firstLineChars="200"/>
        <w:rPr>
          <w:rFonts w:ascii="宋体"/>
          <w:spacing w:val="10"/>
          <w:sz w:val="24"/>
          <w:szCs w:val="24"/>
        </w:rPr>
      </w:pPr>
      <w:r>
        <w:rPr>
          <w:rFonts w:ascii="宋体" w:hAnsi="宋体" w:cs="宋体"/>
          <w:spacing w:val="10"/>
          <w:sz w:val="24"/>
          <w:szCs w:val="24"/>
        </w:rPr>
        <w:t>3.</w:t>
      </w:r>
      <w:r>
        <w:rPr>
          <w:rFonts w:hint="eastAsia" w:ascii="宋体" w:hAnsi="宋体" w:cs="宋体"/>
          <w:spacing w:val="10"/>
          <w:sz w:val="24"/>
          <w:szCs w:val="24"/>
        </w:rPr>
        <w:t>价值时点原则：要求估价结果是在根据估价目的确定的某一特定时间的价值或价格的原则。</w:t>
      </w:r>
    </w:p>
    <w:p>
      <w:pPr>
        <w:widowControl/>
        <w:spacing w:line="360" w:lineRule="auto"/>
        <w:ind w:left="2" w:leftChars="1" w:firstLine="520" w:firstLineChars="200"/>
        <w:rPr>
          <w:rFonts w:ascii="宋体"/>
          <w:spacing w:val="10"/>
          <w:sz w:val="24"/>
          <w:szCs w:val="24"/>
        </w:rPr>
      </w:pPr>
      <w:r>
        <w:rPr>
          <w:rFonts w:ascii="宋体" w:hAnsi="宋体" w:cs="宋体"/>
          <w:spacing w:val="10"/>
          <w:sz w:val="24"/>
          <w:szCs w:val="24"/>
        </w:rPr>
        <w:t>4.</w:t>
      </w:r>
      <w:r>
        <w:rPr>
          <w:rFonts w:hint="eastAsia" w:ascii="宋体" w:hAnsi="宋体" w:cs="宋体"/>
          <w:spacing w:val="10"/>
          <w:sz w:val="24"/>
          <w:szCs w:val="24"/>
        </w:rPr>
        <w:t>替代原则：要求估价结果与估价对象的类似房地产在同等条件下的价值或价格偏差在合理范围内的原则。</w:t>
      </w:r>
    </w:p>
    <w:p>
      <w:pPr>
        <w:widowControl/>
        <w:spacing w:line="360" w:lineRule="auto"/>
        <w:ind w:firstLine="520" w:firstLineChars="200"/>
        <w:rPr>
          <w:rFonts w:ascii="宋体"/>
          <w:spacing w:val="10"/>
          <w:sz w:val="24"/>
          <w:szCs w:val="24"/>
        </w:rPr>
      </w:pPr>
      <w:r>
        <w:rPr>
          <w:rFonts w:ascii="宋体" w:hAnsi="宋体" w:cs="宋体"/>
          <w:spacing w:val="10"/>
          <w:sz w:val="24"/>
          <w:szCs w:val="24"/>
        </w:rPr>
        <w:t>5.</w:t>
      </w:r>
      <w:r>
        <w:rPr>
          <w:rFonts w:hint="eastAsia" w:ascii="宋体" w:hAnsi="宋体" w:cs="宋体"/>
          <w:spacing w:val="10"/>
          <w:sz w:val="24"/>
          <w:szCs w:val="24"/>
        </w:rPr>
        <w:t>最高最佳利用原则：要求估价结果是在估价对象最高最佳利用状况下的价值或价格的原则，最高最佳利用是指房地产在法律上允许、技术上可能、财务上可行并使价值最大的合理、可能的利用，包括最佳的用途、规模和档次等。</w:t>
      </w:r>
    </w:p>
    <w:p>
      <w:pPr>
        <w:pStyle w:val="3"/>
        <w:snapToGrid/>
        <w:spacing w:line="360" w:lineRule="auto"/>
        <w:rPr>
          <w:rFonts w:ascii="宋体" w:hAnsi="宋体" w:eastAsia="宋体" w:cs="Times New Roman"/>
          <w:b w:val="0"/>
          <w:bCs w:val="0"/>
          <w:spacing w:val="10"/>
          <w:sz w:val="24"/>
          <w:szCs w:val="24"/>
        </w:rPr>
      </w:pPr>
      <w:r>
        <w:rPr>
          <w:rFonts w:hint="eastAsia" w:ascii="宋体" w:hAnsi="宋体" w:eastAsia="宋体" w:cs="宋体"/>
          <w:spacing w:val="10"/>
          <w:sz w:val="24"/>
          <w:szCs w:val="24"/>
        </w:rPr>
        <w:t>八、估价依据</w:t>
      </w:r>
      <w:bookmarkEnd w:id="22"/>
      <w:bookmarkEnd w:id="23"/>
    </w:p>
    <w:p>
      <w:pPr>
        <w:pStyle w:val="11"/>
        <w:widowControl/>
        <w:spacing w:line="360" w:lineRule="auto"/>
        <w:rPr>
          <w:rFonts w:ascii="宋体" w:hAnsi="宋体" w:eastAsia="宋体" w:cs="Times New Roman"/>
          <w:sz w:val="24"/>
          <w:szCs w:val="24"/>
        </w:rPr>
      </w:pPr>
      <w:r>
        <w:rPr>
          <w:rFonts w:hint="eastAsia" w:ascii="宋体" w:hAnsi="宋体" w:eastAsia="宋体" w:cs="宋体"/>
          <w:sz w:val="24"/>
          <w:szCs w:val="24"/>
        </w:rPr>
        <w:t>（一）法律、法规和政策性文件</w:t>
      </w:r>
    </w:p>
    <w:p>
      <w:pPr>
        <w:pStyle w:val="11"/>
        <w:widowControl/>
        <w:spacing w:line="360" w:lineRule="auto"/>
        <w:ind w:left="482"/>
        <w:rPr>
          <w:rFonts w:ascii="宋体" w:hAnsi="宋体" w:eastAsia="宋体" w:cs="Times New Roman"/>
          <w:sz w:val="24"/>
          <w:szCs w:val="24"/>
        </w:rPr>
      </w:pPr>
      <w:r>
        <w:rPr>
          <w:rFonts w:ascii="宋体" w:hAnsi="宋体" w:eastAsia="宋体" w:cs="宋体"/>
          <w:sz w:val="24"/>
          <w:szCs w:val="24"/>
        </w:rPr>
        <w:t xml:space="preserve">1. </w:t>
      </w:r>
      <w:r>
        <w:rPr>
          <w:rFonts w:hint="eastAsia" w:ascii="宋体" w:hAnsi="宋体" w:eastAsia="宋体" w:cs="宋体"/>
          <w:sz w:val="24"/>
          <w:szCs w:val="24"/>
        </w:rPr>
        <w:t>《中华人民共和国资产评估法》（中华人民共和国主席令第</w:t>
      </w:r>
      <w:r>
        <w:rPr>
          <w:rFonts w:ascii="宋体" w:hAnsi="宋体" w:eastAsia="宋体" w:cs="宋体"/>
          <w:sz w:val="24"/>
          <w:szCs w:val="24"/>
        </w:rPr>
        <w:t>46</w:t>
      </w:r>
      <w:r>
        <w:rPr>
          <w:rFonts w:hint="eastAsia" w:ascii="宋体" w:hAnsi="宋体" w:eastAsia="宋体" w:cs="宋体"/>
          <w:sz w:val="24"/>
          <w:szCs w:val="24"/>
        </w:rPr>
        <w:t>号）</w:t>
      </w:r>
    </w:p>
    <w:p>
      <w:pPr>
        <w:pStyle w:val="11"/>
        <w:widowControl/>
        <w:spacing w:line="360" w:lineRule="auto"/>
        <w:ind w:left="482"/>
        <w:rPr>
          <w:rFonts w:ascii="宋体" w:hAnsi="宋体" w:eastAsia="宋体" w:cs="Times New Roman"/>
          <w:sz w:val="24"/>
          <w:szCs w:val="24"/>
        </w:rPr>
      </w:pPr>
      <w:r>
        <w:rPr>
          <w:rFonts w:ascii="宋体" w:hAnsi="宋体" w:eastAsia="宋体" w:cs="宋体"/>
          <w:sz w:val="24"/>
          <w:szCs w:val="24"/>
        </w:rPr>
        <w:t xml:space="preserve">2. </w:t>
      </w:r>
      <w:r>
        <w:rPr>
          <w:rFonts w:hint="eastAsia" w:ascii="宋体" w:hAnsi="宋体" w:eastAsia="宋体" w:cs="宋体"/>
          <w:sz w:val="24"/>
          <w:szCs w:val="24"/>
        </w:rPr>
        <w:t>《中华人民共和国城市房地产管理法》（中华人民共和国主席令第</w:t>
      </w:r>
      <w:r>
        <w:rPr>
          <w:rFonts w:ascii="宋体" w:hAnsi="宋体" w:eastAsia="宋体" w:cs="宋体"/>
          <w:sz w:val="24"/>
          <w:szCs w:val="24"/>
        </w:rPr>
        <w:t>72</w:t>
      </w:r>
      <w:r>
        <w:rPr>
          <w:rFonts w:hint="eastAsia" w:ascii="宋体" w:hAnsi="宋体" w:eastAsia="宋体" w:cs="宋体"/>
          <w:sz w:val="24"/>
          <w:szCs w:val="24"/>
        </w:rPr>
        <w:t>号）</w:t>
      </w:r>
    </w:p>
    <w:p>
      <w:pPr>
        <w:pStyle w:val="11"/>
        <w:widowControl/>
        <w:spacing w:line="360" w:lineRule="auto"/>
        <w:ind w:left="482"/>
        <w:rPr>
          <w:rFonts w:ascii="宋体" w:hAnsi="宋体" w:eastAsia="宋体" w:cs="Times New Roman"/>
          <w:sz w:val="24"/>
          <w:szCs w:val="24"/>
        </w:rPr>
      </w:pPr>
      <w:r>
        <w:rPr>
          <w:rFonts w:ascii="宋体" w:hAnsi="宋体" w:cs="宋体"/>
          <w:sz w:val="24"/>
          <w:szCs w:val="24"/>
        </w:rPr>
        <w:t>3.</w:t>
      </w:r>
      <w:r>
        <w:rPr>
          <w:rFonts w:ascii="宋体" w:hAnsi="宋体" w:eastAsia="宋体" w:cs="宋体"/>
          <w:sz w:val="24"/>
          <w:szCs w:val="24"/>
        </w:rPr>
        <w:t xml:space="preserve"> </w:t>
      </w:r>
      <w:r>
        <w:rPr>
          <w:rFonts w:hint="eastAsia" w:ascii="宋体" w:hAnsi="宋体" w:eastAsia="宋体" w:cs="宋体"/>
          <w:sz w:val="24"/>
          <w:szCs w:val="24"/>
        </w:rPr>
        <w:t>《中华人民共和国土地管理法》（中华人民共和国主席令第</w:t>
      </w:r>
      <w:r>
        <w:rPr>
          <w:rFonts w:ascii="宋体" w:hAnsi="宋体" w:eastAsia="宋体" w:cs="宋体"/>
          <w:sz w:val="24"/>
          <w:szCs w:val="24"/>
        </w:rPr>
        <w:t>28</w:t>
      </w:r>
      <w:r>
        <w:rPr>
          <w:rFonts w:hint="eastAsia" w:ascii="宋体" w:hAnsi="宋体" w:eastAsia="宋体" w:cs="宋体"/>
          <w:sz w:val="24"/>
          <w:szCs w:val="24"/>
        </w:rPr>
        <w:t>号）</w:t>
      </w:r>
    </w:p>
    <w:p>
      <w:pPr>
        <w:pStyle w:val="11"/>
        <w:widowControl/>
        <w:spacing w:line="360" w:lineRule="auto"/>
        <w:ind w:firstLine="480" w:firstLineChars="200"/>
        <w:rPr>
          <w:rFonts w:ascii="宋体" w:hAnsi="宋体" w:eastAsia="宋体" w:cs="Times New Roman"/>
          <w:sz w:val="24"/>
          <w:szCs w:val="24"/>
        </w:rPr>
      </w:pPr>
      <w:r>
        <w:rPr>
          <w:rFonts w:ascii="宋体" w:hAnsi="宋体" w:eastAsia="宋体" w:cs="宋体"/>
          <w:sz w:val="24"/>
          <w:szCs w:val="24"/>
        </w:rPr>
        <w:t xml:space="preserve">4. </w:t>
      </w:r>
      <w:r>
        <w:rPr>
          <w:rFonts w:hint="eastAsia" w:ascii="宋体" w:hAnsi="宋体" w:eastAsia="宋体" w:cs="宋体"/>
          <w:sz w:val="24"/>
          <w:szCs w:val="24"/>
        </w:rPr>
        <w:t>《中华人民共和国土地管理法实施条例》（国务院令第</w:t>
      </w:r>
      <w:r>
        <w:rPr>
          <w:rFonts w:ascii="宋体" w:hAnsi="宋体" w:eastAsia="宋体" w:cs="宋体"/>
          <w:sz w:val="24"/>
          <w:szCs w:val="24"/>
        </w:rPr>
        <w:t>256</w:t>
      </w:r>
      <w:r>
        <w:rPr>
          <w:rFonts w:hint="eastAsia" w:ascii="宋体" w:hAnsi="宋体" w:eastAsia="宋体" w:cs="宋体"/>
          <w:sz w:val="24"/>
          <w:szCs w:val="24"/>
        </w:rPr>
        <w:t>号）</w:t>
      </w:r>
    </w:p>
    <w:p>
      <w:pPr>
        <w:pStyle w:val="11"/>
        <w:widowControl/>
        <w:spacing w:line="360" w:lineRule="auto"/>
        <w:ind w:left="482"/>
        <w:rPr>
          <w:rFonts w:ascii="宋体" w:hAnsi="宋体" w:eastAsia="宋体" w:cs="Times New Roman"/>
          <w:sz w:val="24"/>
          <w:szCs w:val="24"/>
        </w:rPr>
      </w:pPr>
      <w:r>
        <w:rPr>
          <w:rFonts w:ascii="宋体" w:hAnsi="宋体" w:eastAsia="宋体" w:cs="宋体"/>
          <w:sz w:val="24"/>
          <w:szCs w:val="24"/>
        </w:rPr>
        <w:t xml:space="preserve">5. </w:t>
      </w:r>
      <w:r>
        <w:rPr>
          <w:rFonts w:hint="eastAsia" w:ascii="宋体" w:hAnsi="宋体" w:eastAsia="宋体" w:cs="宋体"/>
          <w:sz w:val="24"/>
          <w:szCs w:val="24"/>
        </w:rPr>
        <w:t>《中华人民共和国物权法》（中华人民共和国主席令第</w:t>
      </w:r>
      <w:r>
        <w:rPr>
          <w:rFonts w:ascii="宋体" w:hAnsi="宋体" w:eastAsia="宋体" w:cs="宋体"/>
          <w:sz w:val="24"/>
          <w:szCs w:val="24"/>
        </w:rPr>
        <w:t>62</w:t>
      </w:r>
      <w:r>
        <w:rPr>
          <w:rFonts w:hint="eastAsia" w:ascii="宋体" w:hAnsi="宋体" w:eastAsia="宋体" w:cs="宋体"/>
          <w:sz w:val="24"/>
          <w:szCs w:val="24"/>
        </w:rPr>
        <w:t>号）</w:t>
      </w:r>
    </w:p>
    <w:p>
      <w:pPr>
        <w:pStyle w:val="11"/>
        <w:widowControl/>
        <w:spacing w:line="360" w:lineRule="auto"/>
        <w:ind w:firstLine="480" w:firstLineChars="200"/>
        <w:rPr>
          <w:rFonts w:ascii="宋体" w:hAnsi="宋体" w:eastAsia="宋体" w:cs="Times New Roman"/>
          <w:spacing w:val="10"/>
          <w:sz w:val="24"/>
          <w:szCs w:val="24"/>
        </w:rPr>
      </w:pPr>
      <w:r>
        <w:rPr>
          <w:rFonts w:ascii="宋体" w:hAnsi="宋体" w:eastAsia="宋体" w:cs="宋体"/>
          <w:sz w:val="24"/>
          <w:szCs w:val="24"/>
        </w:rPr>
        <w:t xml:space="preserve">6. </w:t>
      </w:r>
      <w:r>
        <w:rPr>
          <w:rFonts w:hint="eastAsia" w:ascii="宋体" w:hAnsi="宋体" w:eastAsia="宋体" w:cs="宋体"/>
          <w:sz w:val="24"/>
          <w:szCs w:val="24"/>
        </w:rPr>
        <w:t>《中华人民共和国城市房屋权属登记管理办法》（中华人民共和国建设部令第</w:t>
      </w:r>
      <w:r>
        <w:rPr>
          <w:rFonts w:ascii="宋体" w:hAnsi="宋体" w:eastAsia="宋体" w:cs="宋体"/>
          <w:sz w:val="24"/>
          <w:szCs w:val="24"/>
        </w:rPr>
        <w:t>168</w:t>
      </w:r>
      <w:r>
        <w:rPr>
          <w:rFonts w:hint="eastAsia" w:ascii="宋体" w:hAnsi="宋体" w:eastAsia="宋体" w:cs="宋体"/>
          <w:sz w:val="24"/>
          <w:szCs w:val="24"/>
        </w:rPr>
        <w:t>号）</w:t>
      </w:r>
    </w:p>
    <w:p>
      <w:pPr>
        <w:spacing w:line="360" w:lineRule="auto"/>
        <w:ind w:firstLine="460" w:firstLineChars="177"/>
        <w:rPr>
          <w:rFonts w:ascii="宋体"/>
          <w:spacing w:val="10"/>
          <w:sz w:val="24"/>
          <w:szCs w:val="24"/>
        </w:rPr>
      </w:pPr>
      <w:r>
        <w:rPr>
          <w:rFonts w:ascii="宋体" w:hAnsi="宋体" w:cs="宋体"/>
          <w:spacing w:val="10"/>
          <w:sz w:val="24"/>
          <w:szCs w:val="24"/>
        </w:rPr>
        <w:t>7.</w:t>
      </w:r>
      <w:r>
        <w:rPr>
          <w:rFonts w:ascii="宋体" w:hAnsi="宋体" w:cs="宋体"/>
          <w:sz w:val="24"/>
          <w:szCs w:val="24"/>
        </w:rPr>
        <w:t xml:space="preserve"> </w:t>
      </w:r>
      <w:r>
        <w:rPr>
          <w:rFonts w:hint="eastAsia" w:ascii="宋体" w:hAnsi="宋体" w:cs="宋体"/>
          <w:sz w:val="24"/>
          <w:szCs w:val="24"/>
        </w:rPr>
        <w:t>《不动产登记暂行条例》（国务院令第</w:t>
      </w:r>
      <w:r>
        <w:rPr>
          <w:rFonts w:ascii="宋体" w:hAnsi="宋体" w:cs="宋体"/>
          <w:sz w:val="24"/>
          <w:szCs w:val="24"/>
        </w:rPr>
        <w:t>656</w:t>
      </w:r>
      <w:r>
        <w:rPr>
          <w:rFonts w:hint="eastAsia" w:ascii="宋体" w:hAnsi="宋体" w:cs="宋体"/>
          <w:sz w:val="24"/>
          <w:szCs w:val="24"/>
        </w:rPr>
        <w:t>号发布）</w:t>
      </w:r>
    </w:p>
    <w:p>
      <w:pPr>
        <w:spacing w:line="360" w:lineRule="auto"/>
        <w:ind w:firstLine="460" w:firstLineChars="177"/>
        <w:rPr>
          <w:rFonts w:ascii="宋体"/>
          <w:spacing w:val="10"/>
          <w:sz w:val="24"/>
          <w:szCs w:val="24"/>
        </w:rPr>
      </w:pPr>
      <w:r>
        <w:rPr>
          <w:rFonts w:ascii="宋体" w:hAnsi="宋体" w:cs="宋体"/>
          <w:spacing w:val="10"/>
          <w:sz w:val="24"/>
          <w:szCs w:val="24"/>
        </w:rPr>
        <w:t>8.</w:t>
      </w:r>
      <w:r>
        <w:rPr>
          <w:rFonts w:hint="eastAsia" w:ascii="宋体" w:hAnsi="宋体" w:cs="宋体"/>
          <w:spacing w:val="10"/>
          <w:sz w:val="24"/>
          <w:szCs w:val="24"/>
        </w:rPr>
        <w:t>《</w:t>
      </w:r>
      <w:r>
        <w:rPr>
          <w:rFonts w:hint="eastAsia" w:ascii="宋体" w:hAnsi="宋体" w:cs="宋体"/>
          <w:sz w:val="24"/>
          <w:szCs w:val="24"/>
        </w:rPr>
        <w:t>不动产登记暂行条例实施细则</w:t>
      </w:r>
      <w:r>
        <w:rPr>
          <w:rFonts w:hint="eastAsia" w:ascii="宋体" w:hAnsi="宋体" w:cs="宋体"/>
          <w:spacing w:val="10"/>
          <w:sz w:val="24"/>
          <w:szCs w:val="24"/>
        </w:rPr>
        <w:t>》（</w:t>
      </w:r>
      <w:r>
        <w:rPr>
          <w:rFonts w:hint="eastAsia" w:ascii="宋体" w:hAnsi="宋体" w:cs="宋体"/>
          <w:sz w:val="24"/>
          <w:szCs w:val="24"/>
        </w:rPr>
        <w:t>中华人民共和国国土资源部令第</w:t>
      </w:r>
      <w:r>
        <w:rPr>
          <w:rFonts w:ascii="宋体" w:hAnsi="宋体" w:cs="宋体"/>
          <w:sz w:val="24"/>
          <w:szCs w:val="24"/>
        </w:rPr>
        <w:t>63</w:t>
      </w:r>
      <w:r>
        <w:rPr>
          <w:rFonts w:hint="eastAsia" w:ascii="宋体" w:hAnsi="宋体" w:cs="宋体"/>
          <w:sz w:val="24"/>
          <w:szCs w:val="24"/>
        </w:rPr>
        <w:t>号</w:t>
      </w:r>
      <w:r>
        <w:rPr>
          <w:rFonts w:hint="eastAsia" w:ascii="宋体" w:hAnsi="宋体" w:cs="宋体"/>
          <w:spacing w:val="10"/>
          <w:sz w:val="24"/>
          <w:szCs w:val="24"/>
        </w:rPr>
        <w:t>）</w:t>
      </w:r>
    </w:p>
    <w:p>
      <w:pPr>
        <w:spacing w:line="360" w:lineRule="auto"/>
        <w:ind w:firstLine="460" w:firstLineChars="177"/>
        <w:rPr>
          <w:rFonts w:ascii="宋体"/>
          <w:spacing w:val="10"/>
          <w:sz w:val="24"/>
          <w:szCs w:val="24"/>
        </w:rPr>
      </w:pPr>
      <w:r>
        <w:rPr>
          <w:rFonts w:ascii="宋体" w:hAnsi="宋体" w:cs="宋体"/>
          <w:spacing w:val="10"/>
          <w:sz w:val="24"/>
          <w:szCs w:val="24"/>
        </w:rPr>
        <w:t xml:space="preserve">9. </w:t>
      </w:r>
      <w:r>
        <w:rPr>
          <w:rFonts w:hint="eastAsia" w:ascii="宋体" w:hAnsi="宋体" w:cs="宋体"/>
          <w:spacing w:val="10"/>
          <w:sz w:val="24"/>
          <w:szCs w:val="24"/>
        </w:rPr>
        <w:t>《湖南省城市房屋产权产籍管理条例》（湖南省第九届人民代表大会常务委员会第</w:t>
      </w:r>
      <w:r>
        <w:rPr>
          <w:rFonts w:ascii="宋体" w:hAnsi="宋体" w:cs="宋体"/>
          <w:spacing w:val="10"/>
          <w:sz w:val="24"/>
          <w:szCs w:val="24"/>
        </w:rPr>
        <w:t>5</w:t>
      </w:r>
      <w:r>
        <w:rPr>
          <w:rFonts w:hint="eastAsia" w:ascii="宋体" w:hAnsi="宋体" w:cs="宋体"/>
          <w:spacing w:val="10"/>
          <w:sz w:val="24"/>
          <w:szCs w:val="24"/>
        </w:rPr>
        <w:t>公告）</w:t>
      </w:r>
    </w:p>
    <w:p>
      <w:pPr>
        <w:spacing w:line="360" w:lineRule="auto"/>
        <w:ind w:firstLine="460" w:firstLineChars="177"/>
        <w:rPr>
          <w:rFonts w:ascii="宋体"/>
          <w:spacing w:val="10"/>
          <w:sz w:val="24"/>
          <w:szCs w:val="24"/>
        </w:rPr>
      </w:pPr>
      <w:r>
        <w:rPr>
          <w:rFonts w:ascii="宋体" w:hAnsi="宋体" w:cs="宋体"/>
          <w:spacing w:val="10"/>
          <w:sz w:val="24"/>
          <w:szCs w:val="24"/>
        </w:rPr>
        <w:t>10</w:t>
      </w:r>
      <w:r>
        <w:rPr>
          <w:rFonts w:ascii="宋体" w:cs="宋体"/>
          <w:spacing w:val="10"/>
          <w:sz w:val="24"/>
          <w:szCs w:val="24"/>
        </w:rPr>
        <w:t>.</w:t>
      </w:r>
      <w:r>
        <w:rPr>
          <w:rFonts w:hint="eastAsia" w:ascii="宋体" w:hAnsi="宋体" w:cs="宋体"/>
          <w:spacing w:val="10"/>
          <w:sz w:val="24"/>
          <w:szCs w:val="24"/>
        </w:rPr>
        <w:t>《国家税务总局关于发布</w:t>
      </w:r>
      <w:r>
        <w:rPr>
          <w:rFonts w:ascii="宋体" w:hAnsi="宋体" w:cs="宋体"/>
          <w:spacing w:val="10"/>
          <w:sz w:val="24"/>
          <w:szCs w:val="24"/>
        </w:rPr>
        <w:t>&lt;</w:t>
      </w:r>
      <w:r>
        <w:rPr>
          <w:rFonts w:hint="eastAsia" w:ascii="宋体" w:hAnsi="宋体" w:cs="宋体"/>
          <w:spacing w:val="10"/>
          <w:sz w:val="24"/>
          <w:szCs w:val="24"/>
        </w:rPr>
        <w:t>纳税人提供不动产经营租赁服务增值税征收管理暂行办法</w:t>
      </w:r>
      <w:r>
        <w:rPr>
          <w:rFonts w:ascii="宋体" w:hAnsi="宋体" w:cs="宋体"/>
          <w:spacing w:val="10"/>
          <w:sz w:val="24"/>
          <w:szCs w:val="24"/>
        </w:rPr>
        <w:t>&gt;</w:t>
      </w:r>
      <w:r>
        <w:rPr>
          <w:rFonts w:hint="eastAsia" w:ascii="宋体" w:hAnsi="宋体" w:cs="宋体"/>
          <w:spacing w:val="10"/>
          <w:sz w:val="24"/>
          <w:szCs w:val="24"/>
        </w:rPr>
        <w:t>的公告》（国家税务总局公告</w:t>
      </w:r>
      <w:r>
        <w:rPr>
          <w:rFonts w:ascii="宋体" w:hAnsi="宋体" w:cs="宋体"/>
          <w:spacing w:val="10"/>
          <w:sz w:val="24"/>
          <w:szCs w:val="24"/>
        </w:rPr>
        <w:t>2016</w:t>
      </w:r>
      <w:r>
        <w:rPr>
          <w:rFonts w:hint="eastAsia" w:ascii="宋体" w:hAnsi="宋体" w:cs="宋体"/>
          <w:spacing w:val="10"/>
          <w:sz w:val="24"/>
          <w:szCs w:val="24"/>
        </w:rPr>
        <w:t>年第</w:t>
      </w:r>
      <w:r>
        <w:rPr>
          <w:rFonts w:ascii="宋体" w:hAnsi="宋体" w:cs="宋体"/>
          <w:spacing w:val="10"/>
          <w:sz w:val="24"/>
          <w:szCs w:val="24"/>
        </w:rPr>
        <w:t>16</w:t>
      </w:r>
      <w:r>
        <w:rPr>
          <w:rFonts w:hint="eastAsia" w:ascii="宋体" w:hAnsi="宋体" w:cs="宋体"/>
          <w:spacing w:val="10"/>
          <w:sz w:val="24"/>
          <w:szCs w:val="24"/>
        </w:rPr>
        <w:t>号）</w:t>
      </w:r>
    </w:p>
    <w:p>
      <w:pPr>
        <w:spacing w:line="360" w:lineRule="auto"/>
        <w:ind w:firstLine="460" w:firstLineChars="177"/>
        <w:rPr>
          <w:rFonts w:ascii="宋体"/>
          <w:spacing w:val="10"/>
          <w:sz w:val="24"/>
          <w:szCs w:val="24"/>
        </w:rPr>
      </w:pPr>
      <w:r>
        <w:rPr>
          <w:rFonts w:ascii="宋体" w:hAnsi="宋体" w:cs="宋体"/>
          <w:spacing w:val="10"/>
          <w:sz w:val="24"/>
          <w:szCs w:val="24"/>
        </w:rPr>
        <w:t>11</w:t>
      </w:r>
      <w:r>
        <w:rPr>
          <w:rFonts w:ascii="宋体" w:cs="宋体"/>
          <w:spacing w:val="10"/>
          <w:sz w:val="24"/>
          <w:szCs w:val="24"/>
        </w:rPr>
        <w:t>.</w:t>
      </w:r>
      <w:r>
        <w:rPr>
          <w:rFonts w:hint="eastAsia" w:ascii="宋体" w:hAnsi="宋体" w:cs="宋体"/>
          <w:spacing w:val="10"/>
          <w:sz w:val="24"/>
          <w:szCs w:val="24"/>
        </w:rPr>
        <w:t>《财政部、国家税务总局关于全面推开营业税改征增值税试点的通知》（财税</w:t>
      </w:r>
      <w:r>
        <w:rPr>
          <w:rFonts w:ascii="宋体" w:hAnsi="宋体" w:cs="宋体"/>
          <w:spacing w:val="10"/>
          <w:sz w:val="24"/>
          <w:szCs w:val="24"/>
        </w:rPr>
        <w:t>[2016]36</w:t>
      </w:r>
      <w:r>
        <w:rPr>
          <w:rFonts w:hint="eastAsia" w:ascii="宋体" w:hAnsi="宋体" w:cs="宋体"/>
          <w:spacing w:val="10"/>
          <w:sz w:val="24"/>
          <w:szCs w:val="24"/>
        </w:rPr>
        <w:t>号）</w:t>
      </w:r>
    </w:p>
    <w:p>
      <w:pPr>
        <w:spacing w:line="360" w:lineRule="auto"/>
        <w:ind w:firstLine="460" w:firstLineChars="177"/>
        <w:rPr>
          <w:rFonts w:ascii="宋体"/>
          <w:spacing w:val="10"/>
          <w:sz w:val="24"/>
          <w:szCs w:val="24"/>
        </w:rPr>
      </w:pPr>
      <w:r>
        <w:rPr>
          <w:rFonts w:ascii="宋体" w:hAnsi="宋体" w:cs="宋体"/>
          <w:spacing w:val="10"/>
          <w:sz w:val="24"/>
          <w:szCs w:val="24"/>
        </w:rPr>
        <w:t>12</w:t>
      </w:r>
      <w:r>
        <w:rPr>
          <w:rFonts w:ascii="宋体" w:cs="宋体"/>
          <w:spacing w:val="10"/>
          <w:sz w:val="24"/>
          <w:szCs w:val="24"/>
        </w:rPr>
        <w:t>.</w:t>
      </w:r>
      <w:r>
        <w:rPr>
          <w:rFonts w:hint="eastAsia" w:ascii="宋体" w:hAnsi="宋体" w:cs="宋体"/>
          <w:spacing w:val="10"/>
          <w:sz w:val="24"/>
          <w:szCs w:val="24"/>
        </w:rPr>
        <w:t>《关于营改增后契税、房产税、土地增值税、个人所得税计税依据问题的通知》（财税</w:t>
      </w:r>
      <w:r>
        <w:rPr>
          <w:rFonts w:ascii="宋体" w:hAnsi="宋体" w:cs="宋体"/>
          <w:spacing w:val="10"/>
          <w:sz w:val="24"/>
          <w:szCs w:val="24"/>
        </w:rPr>
        <w:t>[2016]43</w:t>
      </w:r>
      <w:r>
        <w:rPr>
          <w:rFonts w:hint="eastAsia" w:ascii="宋体" w:hAnsi="宋体" w:cs="宋体"/>
          <w:spacing w:val="10"/>
          <w:sz w:val="24"/>
          <w:szCs w:val="24"/>
        </w:rPr>
        <w:t>号）</w:t>
      </w:r>
    </w:p>
    <w:p>
      <w:pPr>
        <w:spacing w:line="360" w:lineRule="auto"/>
        <w:ind w:firstLine="460" w:firstLineChars="177"/>
        <w:rPr>
          <w:rFonts w:ascii="宋体"/>
          <w:spacing w:val="10"/>
          <w:sz w:val="24"/>
          <w:szCs w:val="24"/>
        </w:rPr>
      </w:pPr>
      <w:r>
        <w:rPr>
          <w:rFonts w:ascii="宋体" w:hAnsi="宋体" w:cs="宋体"/>
          <w:spacing w:val="10"/>
          <w:sz w:val="24"/>
          <w:szCs w:val="24"/>
        </w:rPr>
        <w:t>13</w:t>
      </w:r>
      <w:r>
        <w:rPr>
          <w:rFonts w:ascii="宋体" w:cs="宋体"/>
          <w:spacing w:val="10"/>
          <w:sz w:val="24"/>
          <w:szCs w:val="24"/>
        </w:rPr>
        <w:t>.</w:t>
      </w:r>
      <w:r>
        <w:rPr>
          <w:rFonts w:hint="eastAsia" w:ascii="宋体" w:hAnsi="宋体" w:cs="宋体"/>
          <w:spacing w:val="10"/>
          <w:sz w:val="24"/>
          <w:szCs w:val="24"/>
        </w:rPr>
        <w:t>怀化市市城区房屋重置价格标准</w:t>
      </w:r>
    </w:p>
    <w:p>
      <w:pPr>
        <w:pStyle w:val="11"/>
        <w:widowControl/>
        <w:tabs>
          <w:tab w:val="left" w:pos="420"/>
          <w:tab w:val="left" w:pos="945"/>
        </w:tabs>
        <w:spacing w:line="360" w:lineRule="auto"/>
        <w:ind w:left="426"/>
        <w:rPr>
          <w:rFonts w:ascii="宋体" w:hAnsi="宋体" w:eastAsia="宋体" w:cs="Times New Roman"/>
          <w:spacing w:val="10"/>
          <w:sz w:val="24"/>
          <w:szCs w:val="24"/>
        </w:rPr>
      </w:pPr>
      <w:r>
        <w:rPr>
          <w:rFonts w:ascii="宋体" w:hAnsi="宋体" w:eastAsia="宋体" w:cs="宋体"/>
          <w:spacing w:val="10"/>
          <w:sz w:val="24"/>
          <w:szCs w:val="24"/>
        </w:rPr>
        <w:t>14.</w:t>
      </w:r>
      <w:r>
        <w:rPr>
          <w:rFonts w:hint="eastAsia" w:ascii="宋体" w:hAnsi="宋体" w:eastAsia="宋体" w:cs="宋体"/>
          <w:spacing w:val="10"/>
          <w:sz w:val="24"/>
          <w:szCs w:val="24"/>
        </w:rPr>
        <w:t>人民法院司法鉴定工作暂行规定</w:t>
      </w:r>
    </w:p>
    <w:p>
      <w:pPr>
        <w:pStyle w:val="11"/>
        <w:widowControl/>
        <w:tabs>
          <w:tab w:val="left" w:pos="420"/>
          <w:tab w:val="left" w:pos="945"/>
        </w:tabs>
        <w:spacing w:line="360" w:lineRule="auto"/>
        <w:ind w:left="426"/>
        <w:rPr>
          <w:rFonts w:ascii="宋体" w:hAnsi="宋体" w:eastAsia="宋体" w:cs="Times New Roman"/>
          <w:spacing w:val="10"/>
          <w:sz w:val="24"/>
          <w:szCs w:val="24"/>
        </w:rPr>
      </w:pPr>
      <w:r>
        <w:rPr>
          <w:rFonts w:ascii="宋体" w:hAnsi="宋体" w:eastAsia="宋体" w:cs="宋体"/>
          <w:spacing w:val="10"/>
          <w:sz w:val="24"/>
          <w:szCs w:val="24"/>
        </w:rPr>
        <w:t>15.</w:t>
      </w:r>
      <w:r>
        <w:rPr>
          <w:rFonts w:hint="eastAsia" w:ascii="宋体" w:hAnsi="宋体" w:eastAsia="宋体" w:cs="宋体"/>
          <w:spacing w:val="10"/>
          <w:sz w:val="24"/>
          <w:szCs w:val="24"/>
        </w:rPr>
        <w:t>最高人民法院关于人民法院委托评估、拍卖和变卖工作的若干规定</w:t>
      </w:r>
      <w:r>
        <w:rPr>
          <w:rFonts w:ascii="宋体" w:hAnsi="宋体" w:eastAsia="宋体" w:cs="宋体"/>
          <w:spacing w:val="10"/>
          <w:sz w:val="24"/>
          <w:szCs w:val="24"/>
        </w:rPr>
        <w:t>---</w:t>
      </w:r>
      <w:r>
        <w:rPr>
          <w:rFonts w:hint="eastAsia" w:ascii="宋体" w:hAnsi="宋体" w:eastAsia="宋体" w:cs="宋体"/>
          <w:spacing w:val="10"/>
          <w:sz w:val="24"/>
          <w:szCs w:val="24"/>
        </w:rPr>
        <w:t>法释</w:t>
      </w:r>
      <w:r>
        <w:rPr>
          <w:rFonts w:ascii="宋体" w:hAnsi="宋体" w:eastAsia="宋体" w:cs="宋体"/>
          <w:spacing w:val="10"/>
          <w:sz w:val="24"/>
          <w:szCs w:val="24"/>
        </w:rPr>
        <w:t>[2009]16</w:t>
      </w:r>
      <w:r>
        <w:rPr>
          <w:rFonts w:hint="eastAsia" w:ascii="宋体" w:hAnsi="宋体" w:eastAsia="宋体" w:cs="宋体"/>
          <w:spacing w:val="10"/>
          <w:sz w:val="24"/>
          <w:szCs w:val="24"/>
        </w:rPr>
        <w:t>号</w:t>
      </w:r>
    </w:p>
    <w:p>
      <w:pPr>
        <w:pStyle w:val="11"/>
        <w:widowControl/>
        <w:tabs>
          <w:tab w:val="left" w:pos="420"/>
          <w:tab w:val="left" w:pos="945"/>
        </w:tabs>
        <w:spacing w:line="360" w:lineRule="auto"/>
        <w:ind w:left="426"/>
        <w:rPr>
          <w:rFonts w:ascii="宋体" w:hAnsi="宋体" w:eastAsia="宋体" w:cs="Times New Roman"/>
          <w:spacing w:val="10"/>
          <w:sz w:val="24"/>
          <w:szCs w:val="24"/>
        </w:rPr>
      </w:pPr>
      <w:r>
        <w:rPr>
          <w:rFonts w:ascii="宋体" w:hAnsi="宋体" w:eastAsia="宋体" w:cs="宋体"/>
          <w:spacing w:val="10"/>
          <w:sz w:val="24"/>
          <w:szCs w:val="24"/>
        </w:rPr>
        <w:t>16.</w:t>
      </w:r>
      <w:r>
        <w:rPr>
          <w:rFonts w:hint="eastAsia" w:ascii="宋体" w:hAnsi="宋体" w:eastAsia="宋体" w:cs="宋体"/>
          <w:spacing w:val="10"/>
          <w:sz w:val="24"/>
          <w:szCs w:val="24"/>
        </w:rPr>
        <w:t>人民法院司法鉴定工作暂行规定</w:t>
      </w:r>
    </w:p>
    <w:p>
      <w:pPr>
        <w:pStyle w:val="11"/>
        <w:widowControl/>
        <w:tabs>
          <w:tab w:val="left" w:pos="420"/>
          <w:tab w:val="left" w:pos="945"/>
        </w:tabs>
        <w:spacing w:line="360" w:lineRule="auto"/>
        <w:ind w:left="426"/>
        <w:rPr>
          <w:rFonts w:ascii="宋体" w:hAnsi="宋体" w:eastAsia="宋体" w:cs="Times New Roman"/>
          <w:spacing w:val="10"/>
          <w:sz w:val="24"/>
          <w:szCs w:val="24"/>
        </w:rPr>
      </w:pPr>
      <w:r>
        <w:rPr>
          <w:rFonts w:ascii="宋体" w:hAnsi="宋体" w:eastAsia="宋体" w:cs="宋体"/>
          <w:spacing w:val="10"/>
          <w:sz w:val="24"/>
          <w:szCs w:val="24"/>
        </w:rPr>
        <w:t>17.</w:t>
      </w:r>
      <w:r>
        <w:rPr>
          <w:rFonts w:hint="eastAsia" w:ascii="宋体" w:hAnsi="宋体" w:eastAsia="宋体" w:cs="宋体"/>
          <w:spacing w:val="10"/>
          <w:sz w:val="24"/>
          <w:szCs w:val="24"/>
        </w:rPr>
        <w:t>湖南省法院系统对外委托社会机构鉴定、审计、评估、拍卖等工作实施细则</w:t>
      </w:r>
    </w:p>
    <w:p>
      <w:pPr>
        <w:spacing w:line="360" w:lineRule="auto"/>
        <w:ind w:firstLine="460" w:firstLineChars="177"/>
        <w:rPr>
          <w:rFonts w:ascii="宋体"/>
          <w:spacing w:val="10"/>
          <w:sz w:val="24"/>
          <w:szCs w:val="24"/>
        </w:rPr>
      </w:pPr>
      <w:r>
        <w:rPr>
          <w:rFonts w:hint="eastAsia" w:ascii="宋体" w:hAnsi="宋体" w:cs="宋体"/>
          <w:spacing w:val="10"/>
          <w:sz w:val="24"/>
          <w:szCs w:val="24"/>
        </w:rPr>
        <w:t>（二）技术标准</w:t>
      </w:r>
    </w:p>
    <w:p>
      <w:pPr>
        <w:spacing w:line="360" w:lineRule="auto"/>
        <w:ind w:firstLine="480" w:firstLineChars="200"/>
        <w:rPr>
          <w:rFonts w:ascii="宋体"/>
          <w:spacing w:val="10"/>
          <w:sz w:val="24"/>
          <w:szCs w:val="24"/>
        </w:rPr>
      </w:pPr>
      <w:r>
        <w:rPr>
          <w:rFonts w:ascii="宋体" w:hAnsi="宋体" w:cs="宋体"/>
          <w:sz w:val="24"/>
          <w:szCs w:val="24"/>
        </w:rPr>
        <w:t>1.</w:t>
      </w:r>
      <w:r>
        <w:rPr>
          <w:rFonts w:hint="eastAsia" w:ascii="宋体" w:hAnsi="宋体" w:cs="宋体"/>
          <w:sz w:val="24"/>
          <w:szCs w:val="24"/>
        </w:rPr>
        <w:t>《</w:t>
      </w:r>
      <w:r>
        <w:rPr>
          <w:rFonts w:hint="eastAsia" w:ascii="宋体" w:hAnsi="宋体" w:cs="宋体"/>
          <w:spacing w:val="10"/>
          <w:sz w:val="24"/>
          <w:szCs w:val="24"/>
        </w:rPr>
        <w:t>房地产估价规范</w:t>
      </w:r>
      <w:r>
        <w:rPr>
          <w:rFonts w:hint="eastAsia" w:ascii="宋体" w:hAnsi="宋体" w:cs="宋体"/>
          <w:sz w:val="24"/>
          <w:szCs w:val="24"/>
        </w:rPr>
        <w:t>》</w:t>
      </w:r>
      <w:r>
        <w:rPr>
          <w:rFonts w:hint="eastAsia" w:ascii="宋体" w:hAnsi="宋体" w:cs="宋体"/>
          <w:spacing w:val="10"/>
          <w:sz w:val="24"/>
          <w:szCs w:val="24"/>
        </w:rPr>
        <w:t>（国标</w:t>
      </w:r>
      <w:r>
        <w:rPr>
          <w:rFonts w:ascii="宋体" w:hAnsi="宋体" w:cs="宋体"/>
          <w:spacing w:val="10"/>
          <w:sz w:val="24"/>
          <w:szCs w:val="24"/>
        </w:rPr>
        <w:t>GB/T50291-2015</w:t>
      </w:r>
      <w:r>
        <w:rPr>
          <w:rFonts w:hint="eastAsia" w:ascii="宋体" w:hAnsi="宋体" w:cs="宋体"/>
          <w:spacing w:val="10"/>
          <w:sz w:val="24"/>
          <w:szCs w:val="24"/>
        </w:rPr>
        <w:t>）</w:t>
      </w:r>
    </w:p>
    <w:p>
      <w:pPr>
        <w:pStyle w:val="11"/>
        <w:widowControl/>
        <w:spacing w:line="360" w:lineRule="auto"/>
        <w:ind w:left="482"/>
        <w:rPr>
          <w:rFonts w:ascii="宋体" w:hAnsi="宋体" w:eastAsia="宋体" w:cs="Times New Roman"/>
          <w:spacing w:val="10"/>
          <w:sz w:val="24"/>
          <w:szCs w:val="24"/>
        </w:rPr>
      </w:pPr>
      <w:r>
        <w:rPr>
          <w:rFonts w:ascii="宋体" w:hAnsi="宋体" w:eastAsia="宋体" w:cs="宋体"/>
          <w:spacing w:val="10"/>
          <w:sz w:val="24"/>
          <w:szCs w:val="24"/>
        </w:rPr>
        <w:t>2.</w:t>
      </w:r>
      <w:r>
        <w:rPr>
          <w:rFonts w:hint="eastAsia" w:ascii="宋体" w:hAnsi="宋体" w:eastAsia="宋体" w:cs="宋体"/>
          <w:spacing w:val="10"/>
          <w:sz w:val="24"/>
          <w:szCs w:val="24"/>
        </w:rPr>
        <w:t>《房地产估价基本术语标准》（国标</w:t>
      </w:r>
      <w:r>
        <w:rPr>
          <w:rFonts w:ascii="宋体" w:hAnsi="宋体" w:eastAsia="宋体" w:cs="宋体"/>
          <w:spacing w:val="10"/>
          <w:sz w:val="24"/>
          <w:szCs w:val="24"/>
        </w:rPr>
        <w:t>GB/T50899-2013</w:t>
      </w:r>
      <w:r>
        <w:rPr>
          <w:rFonts w:hint="eastAsia" w:ascii="宋体" w:hAnsi="宋体" w:eastAsia="宋体" w:cs="宋体"/>
          <w:spacing w:val="10"/>
          <w:sz w:val="24"/>
          <w:szCs w:val="24"/>
        </w:rPr>
        <w:t>）</w:t>
      </w:r>
    </w:p>
    <w:p>
      <w:pPr>
        <w:pStyle w:val="11"/>
        <w:widowControl/>
        <w:tabs>
          <w:tab w:val="left" w:pos="945"/>
        </w:tabs>
        <w:spacing w:line="360" w:lineRule="auto"/>
        <w:ind w:firstLine="520" w:firstLineChars="200"/>
        <w:rPr>
          <w:rFonts w:ascii="宋体" w:hAnsi="宋体" w:eastAsia="宋体" w:cs="Times New Roman"/>
          <w:spacing w:val="10"/>
          <w:sz w:val="24"/>
          <w:szCs w:val="24"/>
        </w:rPr>
      </w:pPr>
      <w:r>
        <w:rPr>
          <w:rFonts w:ascii="宋体" w:hAnsi="宋体" w:eastAsia="宋体" w:cs="宋体"/>
          <w:spacing w:val="10"/>
          <w:sz w:val="24"/>
          <w:szCs w:val="24"/>
        </w:rPr>
        <w:t>3.</w:t>
      </w:r>
      <w:r>
        <w:rPr>
          <w:rFonts w:hint="eastAsia" w:ascii="宋体" w:hAnsi="宋体" w:eastAsia="宋体" w:cs="宋体"/>
          <w:spacing w:val="10"/>
          <w:sz w:val="24"/>
          <w:szCs w:val="24"/>
        </w:rPr>
        <w:t>《城镇土地估价规程》（国标</w:t>
      </w:r>
      <w:r>
        <w:rPr>
          <w:rFonts w:ascii="宋体" w:hAnsi="宋体" w:eastAsia="宋体" w:cs="宋体"/>
          <w:spacing w:val="10"/>
          <w:sz w:val="24"/>
          <w:szCs w:val="24"/>
        </w:rPr>
        <w:t>GB/T 18508</w:t>
      </w:r>
      <w:r>
        <w:rPr>
          <w:rFonts w:hint="eastAsia" w:ascii="宋体" w:hAnsi="宋体" w:eastAsia="宋体" w:cs="宋体"/>
          <w:spacing w:val="10"/>
          <w:sz w:val="24"/>
          <w:szCs w:val="24"/>
        </w:rPr>
        <w:t>－</w:t>
      </w:r>
      <w:r>
        <w:rPr>
          <w:rFonts w:ascii="宋体" w:hAnsi="宋体" w:eastAsia="宋体" w:cs="宋体"/>
          <w:spacing w:val="10"/>
          <w:sz w:val="24"/>
          <w:szCs w:val="24"/>
        </w:rPr>
        <w:t>2014</w:t>
      </w:r>
      <w:r>
        <w:rPr>
          <w:rFonts w:hint="eastAsia" w:ascii="宋体" w:hAnsi="宋体" w:eastAsia="宋体" w:cs="宋体"/>
          <w:spacing w:val="10"/>
          <w:sz w:val="24"/>
          <w:szCs w:val="24"/>
        </w:rPr>
        <w:t>）</w:t>
      </w:r>
    </w:p>
    <w:p>
      <w:pPr>
        <w:pStyle w:val="11"/>
        <w:widowControl/>
        <w:tabs>
          <w:tab w:val="left" w:pos="945"/>
        </w:tabs>
        <w:spacing w:line="360" w:lineRule="auto"/>
        <w:ind w:left="482"/>
        <w:rPr>
          <w:rFonts w:ascii="宋体" w:hAnsi="宋体" w:eastAsia="宋体" w:cs="Times New Roman"/>
          <w:spacing w:val="10"/>
          <w:sz w:val="24"/>
          <w:szCs w:val="24"/>
        </w:rPr>
      </w:pPr>
      <w:r>
        <w:rPr>
          <w:rFonts w:hint="eastAsia" w:ascii="宋体" w:hAnsi="宋体" w:eastAsia="宋体" w:cs="宋体"/>
          <w:spacing w:val="10"/>
          <w:sz w:val="24"/>
          <w:szCs w:val="24"/>
        </w:rPr>
        <w:t>（三）估价委托人提供的相关资料</w:t>
      </w:r>
    </w:p>
    <w:p>
      <w:pPr>
        <w:pStyle w:val="11"/>
        <w:widowControl/>
        <w:numPr>
          <w:ilvl w:val="0"/>
          <w:numId w:val="5"/>
        </w:numPr>
        <w:tabs>
          <w:tab w:val="left" w:pos="420"/>
          <w:tab w:val="left" w:pos="945"/>
        </w:tabs>
        <w:spacing w:line="360" w:lineRule="auto"/>
        <w:rPr>
          <w:rFonts w:ascii="宋体" w:hAnsi="宋体" w:eastAsia="宋体" w:cs="Times New Roman"/>
          <w:spacing w:val="10"/>
          <w:sz w:val="24"/>
          <w:szCs w:val="24"/>
        </w:rPr>
      </w:pPr>
      <w:r>
        <w:rPr>
          <w:rFonts w:hint="eastAsia" w:ascii="宋体" w:hAnsi="宋体" w:eastAsia="宋体" w:cs="宋体"/>
          <w:spacing w:val="10"/>
          <w:sz w:val="24"/>
          <w:szCs w:val="24"/>
        </w:rPr>
        <w:t>湖南省中方县人民法院出具的估价委托书</w:t>
      </w:r>
    </w:p>
    <w:p>
      <w:pPr>
        <w:pStyle w:val="11"/>
        <w:widowControl/>
        <w:numPr>
          <w:ilvl w:val="0"/>
          <w:numId w:val="5"/>
        </w:numPr>
        <w:tabs>
          <w:tab w:val="left" w:pos="420"/>
          <w:tab w:val="left" w:pos="945"/>
        </w:tabs>
        <w:spacing w:line="360" w:lineRule="auto"/>
        <w:rPr>
          <w:rFonts w:ascii="宋体" w:hAnsi="宋体" w:eastAsia="宋体" w:cs="Times New Roman"/>
          <w:spacing w:val="10"/>
          <w:sz w:val="24"/>
          <w:szCs w:val="24"/>
        </w:rPr>
      </w:pPr>
      <w:r>
        <w:rPr>
          <w:rFonts w:hint="eastAsia" w:ascii="宋体" w:hAnsi="宋体" w:eastAsia="宋体" w:cs="宋体"/>
          <w:spacing w:val="10"/>
          <w:sz w:val="24"/>
          <w:szCs w:val="24"/>
        </w:rPr>
        <w:t>估价委托人提供的估价对象权属证明等相关资料</w:t>
      </w:r>
    </w:p>
    <w:p>
      <w:pPr>
        <w:pStyle w:val="11"/>
        <w:widowControl/>
        <w:numPr>
          <w:ilvl w:val="0"/>
          <w:numId w:val="5"/>
        </w:numPr>
        <w:tabs>
          <w:tab w:val="left" w:pos="420"/>
          <w:tab w:val="left" w:pos="945"/>
        </w:tabs>
        <w:spacing w:line="360" w:lineRule="auto"/>
        <w:rPr>
          <w:rFonts w:ascii="宋体" w:hAnsi="宋体" w:eastAsia="宋体" w:cs="Times New Roman"/>
          <w:spacing w:val="10"/>
          <w:sz w:val="24"/>
          <w:szCs w:val="24"/>
        </w:rPr>
      </w:pPr>
      <w:r>
        <w:rPr>
          <w:rFonts w:hint="eastAsia" w:ascii="宋体" w:hAnsi="宋体" w:eastAsia="宋体" w:cs="宋体"/>
          <w:spacing w:val="10"/>
          <w:sz w:val="24"/>
          <w:szCs w:val="24"/>
        </w:rPr>
        <w:t>受托估价方实地勘察获取的资料及收集的价格信息</w:t>
      </w:r>
    </w:p>
    <w:p>
      <w:pPr>
        <w:pStyle w:val="11"/>
        <w:widowControl/>
        <w:tabs>
          <w:tab w:val="left" w:pos="945"/>
        </w:tabs>
        <w:spacing w:line="360" w:lineRule="auto"/>
        <w:ind w:firstLine="520" w:firstLineChars="200"/>
        <w:rPr>
          <w:rFonts w:ascii="宋体" w:hAnsi="宋体" w:eastAsia="宋体" w:cs="Times New Roman"/>
          <w:spacing w:val="10"/>
          <w:sz w:val="24"/>
          <w:szCs w:val="24"/>
        </w:rPr>
      </w:pPr>
      <w:r>
        <w:rPr>
          <w:rFonts w:hint="eastAsia" w:ascii="宋体" w:hAnsi="宋体" w:eastAsia="宋体" w:cs="宋体"/>
          <w:spacing w:val="10"/>
          <w:sz w:val="24"/>
          <w:szCs w:val="24"/>
        </w:rPr>
        <w:t>（四）注册房地产估价师收集、掌握的有关资料以及实地查勘所获取的资料</w:t>
      </w:r>
    </w:p>
    <w:p>
      <w:pPr>
        <w:pStyle w:val="11"/>
        <w:widowControl/>
        <w:tabs>
          <w:tab w:val="left" w:pos="945"/>
        </w:tabs>
        <w:spacing w:line="360" w:lineRule="auto"/>
        <w:ind w:firstLine="520" w:firstLineChars="200"/>
        <w:rPr>
          <w:rFonts w:ascii="宋体" w:hAnsi="宋体" w:eastAsia="宋体" w:cs="Times New Roman"/>
          <w:spacing w:val="10"/>
          <w:sz w:val="24"/>
          <w:szCs w:val="24"/>
        </w:rPr>
      </w:pPr>
      <w:r>
        <w:rPr>
          <w:rFonts w:ascii="宋体" w:hAnsi="宋体" w:eastAsia="宋体" w:cs="宋体"/>
          <w:spacing w:val="10"/>
          <w:sz w:val="24"/>
          <w:szCs w:val="24"/>
        </w:rPr>
        <w:t>1.</w:t>
      </w:r>
      <w:r>
        <w:rPr>
          <w:rFonts w:hint="eastAsia" w:ascii="宋体" w:hAnsi="宋体" w:eastAsia="宋体" w:cs="宋体"/>
          <w:spacing w:val="10"/>
          <w:sz w:val="24"/>
          <w:szCs w:val="24"/>
        </w:rPr>
        <w:t>怀化市社会经济统计资料</w:t>
      </w:r>
    </w:p>
    <w:p>
      <w:pPr>
        <w:pStyle w:val="11"/>
        <w:widowControl/>
        <w:tabs>
          <w:tab w:val="left" w:pos="945"/>
        </w:tabs>
        <w:spacing w:line="360" w:lineRule="auto"/>
        <w:ind w:firstLine="520" w:firstLineChars="200"/>
        <w:rPr>
          <w:rFonts w:ascii="宋体" w:hAnsi="宋体" w:eastAsia="宋体" w:cs="Times New Roman"/>
          <w:spacing w:val="10"/>
          <w:sz w:val="24"/>
          <w:szCs w:val="24"/>
        </w:rPr>
      </w:pPr>
      <w:r>
        <w:rPr>
          <w:rFonts w:ascii="宋体" w:hAnsi="宋体" w:eastAsia="宋体" w:cs="宋体"/>
          <w:spacing w:val="10"/>
          <w:sz w:val="24"/>
          <w:szCs w:val="24"/>
        </w:rPr>
        <w:t>2.</w:t>
      </w:r>
      <w:r>
        <w:rPr>
          <w:rFonts w:hint="eastAsia" w:ascii="宋体" w:hAnsi="宋体" w:eastAsia="宋体" w:cs="宋体"/>
          <w:spacing w:val="10"/>
          <w:sz w:val="24"/>
          <w:szCs w:val="24"/>
        </w:rPr>
        <w:t>怀化市城市总体规划资料</w:t>
      </w:r>
    </w:p>
    <w:p>
      <w:pPr>
        <w:pStyle w:val="11"/>
        <w:widowControl/>
        <w:tabs>
          <w:tab w:val="left" w:pos="945"/>
        </w:tabs>
        <w:spacing w:line="360" w:lineRule="auto"/>
        <w:ind w:firstLine="520" w:firstLineChars="200"/>
        <w:rPr>
          <w:rFonts w:ascii="宋体" w:hAnsi="宋体" w:eastAsia="宋体" w:cs="Times New Roman"/>
          <w:spacing w:val="10"/>
          <w:sz w:val="24"/>
          <w:szCs w:val="24"/>
        </w:rPr>
      </w:pPr>
      <w:r>
        <w:rPr>
          <w:rFonts w:ascii="宋体" w:hAnsi="宋体" w:eastAsia="宋体" w:cs="宋体"/>
          <w:spacing w:val="10"/>
          <w:sz w:val="24"/>
          <w:szCs w:val="24"/>
        </w:rPr>
        <w:t>3.</w:t>
      </w:r>
      <w:r>
        <w:rPr>
          <w:rFonts w:hint="eastAsia" w:ascii="宋体" w:hAnsi="宋体" w:eastAsia="宋体" w:cs="宋体"/>
          <w:spacing w:val="10"/>
          <w:sz w:val="24"/>
          <w:szCs w:val="24"/>
        </w:rPr>
        <w:t>怀化市房地产交易统计资料</w:t>
      </w:r>
    </w:p>
    <w:p>
      <w:pPr>
        <w:pStyle w:val="11"/>
        <w:widowControl/>
        <w:tabs>
          <w:tab w:val="left" w:pos="945"/>
        </w:tabs>
        <w:spacing w:line="360" w:lineRule="auto"/>
        <w:ind w:firstLine="520" w:firstLineChars="200"/>
        <w:rPr>
          <w:rFonts w:ascii="宋体" w:hAnsi="宋体" w:eastAsia="宋体" w:cs="Times New Roman"/>
          <w:spacing w:val="10"/>
          <w:sz w:val="24"/>
          <w:szCs w:val="24"/>
        </w:rPr>
      </w:pPr>
      <w:r>
        <w:rPr>
          <w:rFonts w:ascii="宋体" w:hAnsi="宋体" w:eastAsia="宋体" w:cs="宋体"/>
          <w:spacing w:val="10"/>
          <w:sz w:val="24"/>
          <w:szCs w:val="24"/>
        </w:rPr>
        <w:t>4.</w:t>
      </w:r>
      <w:r>
        <w:rPr>
          <w:rFonts w:hint="eastAsia" w:ascii="宋体" w:hAnsi="宋体" w:eastAsia="宋体" w:cs="宋体"/>
          <w:spacing w:val="10"/>
          <w:sz w:val="24"/>
          <w:szCs w:val="24"/>
        </w:rPr>
        <w:t>估价对象项目整体状况资料</w:t>
      </w:r>
    </w:p>
    <w:p>
      <w:pPr>
        <w:pStyle w:val="3"/>
        <w:snapToGrid/>
        <w:spacing w:line="360" w:lineRule="auto"/>
        <w:rPr>
          <w:rFonts w:ascii="宋体" w:hAnsi="宋体" w:eastAsia="宋体" w:cs="Times New Roman"/>
          <w:spacing w:val="10"/>
          <w:sz w:val="24"/>
          <w:szCs w:val="24"/>
        </w:rPr>
      </w:pPr>
      <w:bookmarkStart w:id="24" w:name="_Toc6355"/>
      <w:bookmarkStart w:id="25" w:name="_Toc256000012"/>
      <w:r>
        <w:rPr>
          <w:rFonts w:hint="eastAsia" w:ascii="宋体" w:hAnsi="宋体" w:eastAsia="宋体" w:cs="宋体"/>
          <w:spacing w:val="10"/>
          <w:sz w:val="24"/>
          <w:szCs w:val="24"/>
        </w:rPr>
        <w:t>九、估价方法</w:t>
      </w:r>
      <w:bookmarkEnd w:id="24"/>
      <w:bookmarkEnd w:id="25"/>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房地产估价应当采用科学的估价方法进行严谨的测算，常用的估价方法有比较法、收益法、成本法、假设开发法等，对估价对象宜同时选用所有适用的估价方法进行估价。</w:t>
      </w:r>
    </w:p>
    <w:p>
      <w:pPr>
        <w:widowControl/>
        <w:spacing w:line="440" w:lineRule="exact"/>
        <w:ind w:firstLine="520" w:firstLineChars="200"/>
        <w:rPr>
          <w:rFonts w:ascii="宋体"/>
          <w:spacing w:val="10"/>
          <w:sz w:val="24"/>
          <w:szCs w:val="24"/>
        </w:rPr>
      </w:pPr>
      <w:r>
        <w:rPr>
          <w:rFonts w:ascii="宋体" w:hAnsi="宋体" w:cs="宋体"/>
          <w:spacing w:val="10"/>
          <w:sz w:val="24"/>
          <w:szCs w:val="24"/>
        </w:rPr>
        <w:t>1.</w:t>
      </w:r>
      <w:r>
        <w:rPr>
          <w:rFonts w:hint="eastAsia" w:ascii="宋体" w:hAnsi="宋体" w:cs="宋体"/>
          <w:spacing w:val="10"/>
          <w:sz w:val="24"/>
          <w:szCs w:val="24"/>
        </w:rPr>
        <w:t>比较法就是选取一定数量的可比实例，将它们与估价对象进行比较，根据其间的差异对可比实例的成交价格进行处理后得到估价对象价值或价格的方法。</w:t>
      </w:r>
    </w:p>
    <w:p>
      <w:pPr>
        <w:widowControl/>
        <w:spacing w:line="440" w:lineRule="exact"/>
        <w:ind w:firstLine="520" w:firstLineChars="200"/>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收益法是预测估价对象的未来收益，利用报酬率或资本化率、收益乘数将未来收益转换为价值来求取估价对象价值或价格的方法。</w:t>
      </w:r>
    </w:p>
    <w:p>
      <w:pPr>
        <w:widowControl/>
        <w:spacing w:line="440" w:lineRule="exact"/>
        <w:ind w:firstLine="520" w:firstLineChars="200"/>
        <w:rPr>
          <w:rFonts w:ascii="宋体"/>
          <w:spacing w:val="10"/>
          <w:sz w:val="24"/>
          <w:szCs w:val="24"/>
        </w:rPr>
      </w:pPr>
      <w:r>
        <w:rPr>
          <w:rFonts w:ascii="宋体" w:hAnsi="宋体" w:cs="宋体"/>
          <w:spacing w:val="10"/>
          <w:sz w:val="24"/>
          <w:szCs w:val="24"/>
        </w:rPr>
        <w:t>3.</w:t>
      </w:r>
      <w:r>
        <w:rPr>
          <w:rFonts w:hint="eastAsia" w:ascii="宋体" w:hAnsi="宋体" w:cs="宋体"/>
          <w:spacing w:val="10"/>
          <w:sz w:val="24"/>
          <w:szCs w:val="24"/>
        </w:rPr>
        <w:t>成本法，是求取估价对象在估价时点的重置成本或重建成本和折旧，将重置成本或重建成本减去折旧来求取估价对象价值或价格的方法。</w:t>
      </w:r>
    </w:p>
    <w:p>
      <w:pPr>
        <w:widowControl/>
        <w:spacing w:line="440" w:lineRule="exact"/>
        <w:ind w:firstLine="520" w:firstLineChars="200"/>
        <w:rPr>
          <w:rFonts w:ascii="宋体"/>
          <w:spacing w:val="10"/>
          <w:sz w:val="24"/>
          <w:szCs w:val="24"/>
        </w:rPr>
      </w:pPr>
      <w:r>
        <w:rPr>
          <w:rFonts w:ascii="宋体" w:hAnsi="宋体" w:cs="宋体"/>
          <w:spacing w:val="10"/>
          <w:sz w:val="24"/>
          <w:szCs w:val="24"/>
        </w:rPr>
        <w:t>4.</w:t>
      </w:r>
      <w:r>
        <w:rPr>
          <w:rFonts w:hint="eastAsia" w:ascii="宋体" w:hAnsi="宋体" w:cs="宋体"/>
          <w:spacing w:val="10"/>
          <w:sz w:val="24"/>
          <w:szCs w:val="24"/>
        </w:rPr>
        <w:t>假设开发法，是求得估价对象后续开发的必要支出及折现率或后续开发的必要支出及应得利润和开发完成后的价值，将开发完成后的价值和后续开发的必要支出折现到价值时点后相减，或将开发完成后价值减去后续开发的必要支出及应得利润得到估价对象价值或价格的方法。</w:t>
      </w:r>
    </w:p>
    <w:p>
      <w:pPr>
        <w:widowControl/>
        <w:spacing w:line="360" w:lineRule="auto"/>
        <w:ind w:firstLine="480" w:firstLineChars="200"/>
        <w:rPr>
          <w:rFonts w:ascii="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 1 \* GB2 </w:instrText>
      </w:r>
      <w:r>
        <w:rPr>
          <w:rFonts w:ascii="宋体" w:hAnsi="宋体" w:cs="宋体"/>
          <w:color w:val="000000"/>
          <w:sz w:val="24"/>
          <w:szCs w:val="24"/>
        </w:rPr>
        <w:fldChar w:fldCharType="separate"/>
      </w:r>
      <w:r>
        <w:rPr>
          <w:rFonts w:hint="eastAsia" w:ascii="宋体" w:hAnsi="宋体" w:cs="宋体"/>
          <w:color w:val="000000"/>
          <w:sz w:val="24"/>
          <w:szCs w:val="24"/>
        </w:rPr>
        <w:t>⑴</w:t>
      </w:r>
      <w:r>
        <w:rPr>
          <w:rFonts w:ascii="宋体" w:hAnsi="宋体" w:cs="宋体"/>
          <w:color w:val="000000"/>
          <w:sz w:val="24"/>
          <w:szCs w:val="24"/>
        </w:rPr>
        <w:fldChar w:fldCharType="end"/>
      </w:r>
      <w:r>
        <w:rPr>
          <w:rFonts w:hint="eastAsia" w:ascii="宋体" w:hAnsi="宋体" w:cs="宋体"/>
          <w:color w:val="000000"/>
          <w:sz w:val="24"/>
          <w:szCs w:val="24"/>
        </w:rPr>
        <w:t>不适用的估价方法分析：</w:t>
      </w:r>
    </w:p>
    <w:p>
      <w:pPr>
        <w:widowControl/>
        <w:spacing w:line="360" w:lineRule="auto"/>
        <w:ind w:firstLine="520" w:firstLineChars="200"/>
        <w:rPr>
          <w:rFonts w:ascii="宋体"/>
          <w:color w:val="000000"/>
          <w:spacing w:val="10"/>
          <w:sz w:val="24"/>
          <w:szCs w:val="24"/>
        </w:rPr>
      </w:pPr>
      <w:r>
        <w:rPr>
          <w:rFonts w:ascii="宋体" w:hAnsi="宋体" w:cs="宋体"/>
          <w:color w:val="000000"/>
          <w:spacing w:val="10"/>
          <w:sz w:val="24"/>
          <w:szCs w:val="24"/>
        </w:rPr>
        <w:fldChar w:fldCharType="begin"/>
      </w:r>
      <w:r>
        <w:rPr>
          <w:rFonts w:ascii="宋体" w:hAnsi="宋体" w:cs="宋体"/>
          <w:color w:val="000000"/>
          <w:spacing w:val="10"/>
          <w:sz w:val="24"/>
          <w:szCs w:val="24"/>
        </w:rPr>
        <w:instrText xml:space="preserve">= 1 \* GB3</w:instrText>
      </w:r>
      <w:r>
        <w:rPr>
          <w:rFonts w:ascii="宋体" w:hAnsi="宋体" w:cs="宋体"/>
          <w:color w:val="000000"/>
          <w:spacing w:val="10"/>
          <w:sz w:val="24"/>
          <w:szCs w:val="24"/>
        </w:rPr>
        <w:fldChar w:fldCharType="separate"/>
      </w:r>
      <w:r>
        <w:rPr>
          <w:rFonts w:hint="eastAsia" w:ascii="宋体" w:hAnsi="宋体" w:cs="宋体"/>
          <w:color w:val="000000"/>
          <w:spacing w:val="10"/>
          <w:sz w:val="24"/>
          <w:szCs w:val="24"/>
        </w:rPr>
        <w:t>①</w:t>
      </w:r>
      <w:r>
        <w:rPr>
          <w:rFonts w:ascii="宋体" w:hAnsi="宋体" w:cs="宋体"/>
          <w:color w:val="000000"/>
          <w:spacing w:val="10"/>
          <w:sz w:val="24"/>
          <w:szCs w:val="24"/>
        </w:rPr>
        <w:fldChar w:fldCharType="end"/>
      </w:r>
      <w:r>
        <w:rPr>
          <w:rFonts w:hint="eastAsia" w:ascii="宋体" w:hAnsi="宋体" w:cs="宋体"/>
          <w:color w:val="000000"/>
          <w:spacing w:val="10"/>
          <w:sz w:val="24"/>
          <w:szCs w:val="24"/>
        </w:rPr>
        <w:t>经现场调查，估价对象为已开发建成房产，成新率尚好，经过分析确定其保持现状继续使用为其最高最佳使用途径，故不采用假设开发法评估。</w:t>
      </w:r>
    </w:p>
    <w:p>
      <w:pPr>
        <w:widowControl/>
        <w:spacing w:line="360" w:lineRule="auto"/>
        <w:ind w:firstLine="520" w:firstLineChars="200"/>
        <w:rPr>
          <w:rFonts w:hint="eastAsia" w:ascii="宋体" w:hAnsi="宋体" w:cs="宋体"/>
          <w:spacing w:val="10"/>
          <w:sz w:val="24"/>
          <w:szCs w:val="24"/>
        </w:rPr>
      </w:pPr>
      <w:r>
        <w:rPr>
          <w:rFonts w:ascii="宋体" w:hAnsi="宋体" w:cs="宋体"/>
          <w:color w:val="000000"/>
          <w:spacing w:val="10"/>
          <w:sz w:val="24"/>
          <w:szCs w:val="24"/>
        </w:rPr>
        <w:fldChar w:fldCharType="begin"/>
      </w:r>
      <w:r>
        <w:rPr>
          <w:rFonts w:ascii="宋体" w:hAnsi="宋体" w:cs="宋体"/>
          <w:color w:val="000000"/>
          <w:spacing w:val="10"/>
          <w:sz w:val="24"/>
          <w:szCs w:val="24"/>
        </w:rPr>
        <w:instrText xml:space="preserve">= 2 \* GB3</w:instrText>
      </w:r>
      <w:r>
        <w:rPr>
          <w:rFonts w:ascii="宋体" w:hAnsi="宋体" w:cs="宋体"/>
          <w:color w:val="000000"/>
          <w:spacing w:val="10"/>
          <w:sz w:val="24"/>
          <w:szCs w:val="24"/>
        </w:rPr>
        <w:fldChar w:fldCharType="separate"/>
      </w:r>
      <w:r>
        <w:rPr>
          <w:rFonts w:hint="eastAsia" w:ascii="宋体" w:hAnsi="宋体" w:cs="宋体"/>
          <w:color w:val="000000"/>
          <w:spacing w:val="10"/>
          <w:sz w:val="24"/>
          <w:szCs w:val="24"/>
        </w:rPr>
        <w:t>②</w:t>
      </w:r>
      <w:r>
        <w:rPr>
          <w:rFonts w:ascii="宋体" w:hAnsi="宋体" w:cs="宋体"/>
          <w:color w:val="000000"/>
          <w:spacing w:val="10"/>
          <w:sz w:val="24"/>
          <w:szCs w:val="24"/>
        </w:rPr>
        <w:fldChar w:fldCharType="end"/>
      </w:r>
      <w:r>
        <w:rPr>
          <w:rFonts w:hint="eastAsia" w:ascii="宋体" w:hAnsi="宋体" w:cs="宋体"/>
          <w:spacing w:val="10"/>
          <w:sz w:val="24"/>
          <w:szCs w:val="24"/>
        </w:rPr>
        <w:t>估价对象所在区域房地产</w:t>
      </w:r>
      <w:r>
        <w:rPr>
          <w:rFonts w:hint="eastAsia" w:ascii="宋体" w:hAnsi="宋体" w:cs="宋体"/>
          <w:spacing w:val="10"/>
          <w:sz w:val="24"/>
          <w:szCs w:val="24"/>
          <w:lang w:eastAsia="zh-CN"/>
        </w:rPr>
        <w:t>（商业用途房产）</w:t>
      </w:r>
      <w:r>
        <w:rPr>
          <w:rFonts w:hint="eastAsia" w:ascii="宋体" w:hAnsi="宋体" w:cs="宋体"/>
          <w:spacing w:val="10"/>
          <w:sz w:val="24"/>
          <w:szCs w:val="24"/>
        </w:rPr>
        <w:t>交易市场尚未成熟，价值时点近期类似房地产</w:t>
      </w:r>
      <w:r>
        <w:rPr>
          <w:rFonts w:hint="eastAsia" w:ascii="宋体" w:hAnsi="宋体" w:cs="宋体"/>
          <w:spacing w:val="10"/>
          <w:sz w:val="24"/>
          <w:szCs w:val="24"/>
          <w:lang w:eastAsia="zh-CN"/>
        </w:rPr>
        <w:t>（商业用途房产）</w:t>
      </w:r>
      <w:r>
        <w:rPr>
          <w:rFonts w:hint="eastAsia" w:ascii="宋体" w:hAnsi="宋体" w:cs="宋体"/>
          <w:spacing w:val="10"/>
          <w:sz w:val="24"/>
          <w:szCs w:val="24"/>
        </w:rPr>
        <w:t>市场交易案例较少，故</w:t>
      </w:r>
      <w:r>
        <w:rPr>
          <w:rFonts w:hint="eastAsia" w:ascii="宋体" w:hAnsi="宋体" w:cs="宋体"/>
          <w:spacing w:val="10"/>
          <w:sz w:val="24"/>
          <w:szCs w:val="24"/>
          <w:lang w:val="en-US" w:eastAsia="zh-CN"/>
        </w:rPr>
        <w:t>01幢101号、02幢104、105号商业用房</w:t>
      </w:r>
      <w:r>
        <w:rPr>
          <w:rFonts w:hint="eastAsia" w:ascii="宋体" w:hAnsi="宋体" w:cs="宋体"/>
          <w:spacing w:val="10"/>
          <w:sz w:val="24"/>
          <w:szCs w:val="24"/>
        </w:rPr>
        <w:t>不宜采用比较法评估</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01幢305号、02幢305、306号住宅用房宜采用比较法）</w:t>
      </w:r>
      <w:r>
        <w:rPr>
          <w:rFonts w:hint="eastAsia" w:ascii="宋体" w:hAnsi="宋体" w:cs="宋体"/>
          <w:spacing w:val="10"/>
          <w:sz w:val="24"/>
          <w:szCs w:val="24"/>
        </w:rPr>
        <w:t>。</w:t>
      </w:r>
    </w:p>
    <w:p>
      <w:pPr>
        <w:widowControl/>
        <w:spacing w:line="360" w:lineRule="auto"/>
        <w:ind w:firstLine="520" w:firstLineChars="200"/>
        <w:rPr>
          <w:rFonts w:ascii="宋体"/>
          <w:color w:val="000000"/>
          <w:spacing w:val="10"/>
          <w:sz w:val="24"/>
          <w:szCs w:val="24"/>
        </w:rPr>
      </w:pPr>
      <w:r>
        <w:rPr>
          <w:rFonts w:hint="eastAsia" w:ascii="宋体" w:hAnsi="宋体" w:cs="宋体"/>
          <w:spacing w:val="10"/>
          <w:sz w:val="24"/>
          <w:szCs w:val="24"/>
        </w:rPr>
        <w:t>③估价对象为商业用途房产</w:t>
      </w:r>
      <w:r>
        <w:rPr>
          <w:rFonts w:hint="eastAsia" w:ascii="宋体" w:hAnsi="宋体" w:cs="宋体"/>
          <w:spacing w:val="10"/>
          <w:sz w:val="24"/>
          <w:szCs w:val="24"/>
          <w:lang w:eastAsia="zh-CN"/>
        </w:rPr>
        <w:t>和住宅用途房产</w:t>
      </w:r>
      <w:r>
        <w:rPr>
          <w:rFonts w:hint="eastAsia" w:ascii="宋体" w:hAnsi="宋体" w:cs="宋体"/>
          <w:spacing w:val="10"/>
          <w:sz w:val="24"/>
          <w:szCs w:val="24"/>
        </w:rPr>
        <w:t>，采用成本法不能充分反应其市场价值，故不采用成本法评估。</w:t>
      </w:r>
    </w:p>
    <w:p>
      <w:pPr>
        <w:widowControl/>
        <w:spacing w:line="360" w:lineRule="auto"/>
        <w:ind w:firstLine="480" w:firstLineChars="200"/>
        <w:rPr>
          <w:rFonts w:ascii="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 2 \* GB2 </w:instrText>
      </w:r>
      <w:r>
        <w:rPr>
          <w:rFonts w:ascii="宋体" w:hAnsi="宋体" w:cs="宋体"/>
          <w:color w:val="000000"/>
          <w:sz w:val="24"/>
          <w:szCs w:val="24"/>
        </w:rPr>
        <w:fldChar w:fldCharType="separate"/>
      </w:r>
      <w:r>
        <w:rPr>
          <w:rFonts w:hint="eastAsia" w:ascii="宋体" w:hAnsi="宋体" w:cs="宋体"/>
          <w:color w:val="000000"/>
          <w:sz w:val="24"/>
          <w:szCs w:val="24"/>
        </w:rPr>
        <w:t>⑵</w:t>
      </w:r>
      <w:r>
        <w:rPr>
          <w:rFonts w:ascii="宋体" w:hAnsi="宋体" w:cs="宋体"/>
          <w:color w:val="000000"/>
          <w:sz w:val="24"/>
          <w:szCs w:val="24"/>
        </w:rPr>
        <w:fldChar w:fldCharType="end"/>
      </w:r>
      <w:r>
        <w:rPr>
          <w:rFonts w:hint="eastAsia" w:ascii="宋体" w:hAnsi="宋体" w:cs="宋体"/>
          <w:color w:val="000000"/>
          <w:sz w:val="24"/>
          <w:szCs w:val="24"/>
        </w:rPr>
        <w:t>适用的估价方法分析：</w:t>
      </w:r>
    </w:p>
    <w:p>
      <w:pPr>
        <w:widowControl/>
        <w:spacing w:line="420" w:lineRule="exact"/>
        <w:ind w:firstLine="480" w:firstLineChars="200"/>
        <w:rPr>
          <w:rFonts w:ascii="宋体" w:hAnsi="宋体" w:cs="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1 \* GB3</w:instrText>
      </w:r>
      <w:r>
        <w:rPr>
          <w:rFonts w:ascii="宋体" w:hAnsi="宋体" w:cs="宋体"/>
          <w:color w:val="000000"/>
          <w:sz w:val="24"/>
          <w:szCs w:val="24"/>
        </w:rPr>
        <w:fldChar w:fldCharType="separate"/>
      </w:r>
      <w:r>
        <w:rPr>
          <w:rFonts w:hint="eastAsia" w:ascii="宋体" w:hAnsi="宋体" w:cs="宋体"/>
          <w:color w:val="000000"/>
          <w:sz w:val="24"/>
          <w:szCs w:val="24"/>
        </w:rPr>
        <w:t>①</w:t>
      </w:r>
      <w:r>
        <w:rPr>
          <w:rFonts w:ascii="宋体" w:hAnsi="宋体" w:cs="宋体"/>
          <w:color w:val="000000"/>
          <w:sz w:val="24"/>
          <w:szCs w:val="24"/>
        </w:rPr>
        <w:fldChar w:fldCharType="end"/>
      </w:r>
      <w:r>
        <w:rPr>
          <w:rFonts w:hint="eastAsia" w:ascii="宋体" w:hAnsi="宋体"/>
          <w:color w:val="000000"/>
          <w:spacing w:val="10"/>
          <w:sz w:val="24"/>
          <w:highlight w:val="none"/>
        </w:rPr>
        <w:t>考虑到估价对象房地产所在区域房地产交易市场较成熟，</w:t>
      </w:r>
      <w:r>
        <w:rPr>
          <w:rFonts w:hint="eastAsia" w:ascii="宋体" w:hAnsi="宋体"/>
          <w:color w:val="000000"/>
          <w:spacing w:val="10"/>
          <w:sz w:val="24"/>
          <w:highlight w:val="none"/>
          <w:lang w:eastAsia="zh-CN"/>
        </w:rPr>
        <w:t>住宅</w:t>
      </w:r>
      <w:r>
        <w:rPr>
          <w:rFonts w:hint="eastAsia" w:ascii="宋体" w:hAnsi="宋体"/>
          <w:color w:val="000000"/>
          <w:spacing w:val="10"/>
          <w:sz w:val="24"/>
          <w:highlight w:val="none"/>
        </w:rPr>
        <w:t>用房的市场交易案例较多且容易收集，故</w:t>
      </w:r>
      <w:r>
        <w:rPr>
          <w:rFonts w:hint="eastAsia" w:ascii="宋体" w:hAnsi="宋体" w:cs="宋体"/>
          <w:spacing w:val="10"/>
          <w:sz w:val="24"/>
          <w:szCs w:val="24"/>
          <w:lang w:val="en-US" w:eastAsia="zh-CN"/>
        </w:rPr>
        <w:t>01幢305号、02幢305、306号住宅用房</w:t>
      </w:r>
      <w:r>
        <w:rPr>
          <w:rFonts w:hint="eastAsia" w:ascii="宋体" w:hAnsi="宋体"/>
          <w:color w:val="000000"/>
          <w:spacing w:val="10"/>
          <w:sz w:val="24"/>
          <w:highlight w:val="none"/>
        </w:rPr>
        <w:t>可选用比较法进行评估。比较法是选取一定数量的可比实例，将它们与估价对象进行比较，根据其间的差异对可比实例成交价格进行处理后得到估价对象价值或价格的方法。</w:t>
      </w:r>
    </w:p>
    <w:p>
      <w:pPr>
        <w:widowControl/>
        <w:spacing w:line="440" w:lineRule="exact"/>
        <w:ind w:firstLine="520" w:firstLineChars="200"/>
        <w:rPr>
          <w:rFonts w:hint="eastAsia" w:ascii="宋体" w:hAnsi="宋体"/>
          <w:color w:val="000000"/>
          <w:spacing w:val="10"/>
          <w:sz w:val="24"/>
        </w:rPr>
      </w:pPr>
      <w:r>
        <w:rPr>
          <w:rFonts w:hint="eastAsia" w:ascii="宋体" w:hAnsi="宋体" w:cs="宋体"/>
          <w:spacing w:val="10"/>
          <w:sz w:val="24"/>
          <w:szCs w:val="24"/>
        </w:rPr>
        <w:t>②估价对象所在区域房地产租赁市场较为成熟，价值时点近期类似房地产市场租赁案例较多，故适宜采用收益法</w:t>
      </w:r>
      <w:r>
        <w:rPr>
          <w:rFonts w:hint="eastAsia" w:ascii="宋体" w:hAnsi="宋体" w:cs="宋体"/>
          <w:spacing w:val="10"/>
          <w:sz w:val="24"/>
          <w:szCs w:val="24"/>
          <w:lang w:eastAsia="zh-CN"/>
        </w:rPr>
        <w:t>。</w:t>
      </w:r>
      <w:r>
        <w:rPr>
          <w:rFonts w:hint="eastAsia" w:ascii="宋体" w:hAnsi="宋体"/>
          <w:color w:val="000000"/>
          <w:spacing w:val="10"/>
          <w:sz w:val="24"/>
        </w:rPr>
        <w:t>收益法是预测估价对象的未来收益，利用报酬率或资本化率、收益乘数将未来收益转换为价值得到估计对象价值或价格的方法。</w:t>
      </w:r>
    </w:p>
    <w:p>
      <w:pPr>
        <w:widowControl/>
        <w:spacing w:line="440" w:lineRule="exact"/>
        <w:ind w:firstLine="520" w:firstLineChars="200"/>
        <w:rPr>
          <w:rFonts w:hint="eastAsia" w:ascii="宋体" w:hAnsi="宋体" w:eastAsia="宋体" w:cs="宋体"/>
          <w:color w:val="000000"/>
          <w:spacing w:val="10"/>
          <w:sz w:val="24"/>
          <w:szCs w:val="24"/>
          <w:lang w:eastAsia="zh-CN"/>
        </w:rPr>
      </w:pPr>
      <w:r>
        <w:rPr>
          <w:rFonts w:hint="eastAsia" w:ascii="宋体" w:hAnsi="宋体"/>
          <w:color w:val="000000"/>
          <w:spacing w:val="10"/>
          <w:sz w:val="24"/>
        </w:rPr>
        <w:t>故本次评估宜采用比较法、收益法进行评估，然后对以上</w:t>
      </w:r>
      <w:r>
        <w:rPr>
          <w:rFonts w:hint="eastAsia" w:ascii="宋体" w:hAnsi="宋体"/>
          <w:color w:val="000000"/>
          <w:spacing w:val="10"/>
          <w:sz w:val="24"/>
          <w:lang w:eastAsia="zh-CN"/>
        </w:rPr>
        <w:t>两</w:t>
      </w:r>
      <w:r>
        <w:rPr>
          <w:rFonts w:hint="eastAsia" w:ascii="宋体" w:hAnsi="宋体"/>
          <w:color w:val="000000"/>
          <w:spacing w:val="10"/>
          <w:sz w:val="24"/>
        </w:rPr>
        <w:t>种方法测算的价格进行综合处理，最终求取估价对象的客观价值。</w:t>
      </w:r>
    </w:p>
    <w:p>
      <w:pPr>
        <w:widowControl/>
        <w:spacing w:line="420" w:lineRule="exact"/>
        <w:ind w:firstLine="522" w:firstLineChars="200"/>
        <w:rPr>
          <w:rFonts w:ascii="宋体"/>
          <w:b/>
          <w:bCs/>
          <w:color w:val="000000"/>
          <w:spacing w:val="10"/>
          <w:sz w:val="24"/>
        </w:rPr>
      </w:pPr>
      <w:r>
        <w:rPr>
          <w:rFonts w:hint="eastAsia" w:ascii="宋体" w:hAnsi="宋体"/>
          <w:b/>
          <w:bCs/>
          <w:color w:val="000000"/>
          <w:spacing w:val="10"/>
          <w:sz w:val="24"/>
        </w:rPr>
        <w:t>（一）比较法</w:t>
      </w:r>
    </w:p>
    <w:p>
      <w:pPr>
        <w:widowControl/>
        <w:spacing w:line="420" w:lineRule="exact"/>
        <w:ind w:firstLine="520" w:firstLineChars="200"/>
        <w:rPr>
          <w:rFonts w:ascii="宋体"/>
          <w:color w:val="000000"/>
          <w:spacing w:val="10"/>
          <w:sz w:val="24"/>
        </w:rPr>
      </w:pPr>
      <w:r>
        <w:rPr>
          <w:rFonts w:hint="eastAsia" w:ascii="宋体" w:hAnsi="宋体"/>
          <w:color w:val="000000"/>
          <w:spacing w:val="10"/>
          <w:sz w:val="24"/>
        </w:rPr>
        <w:t>估价技术路线为：首先遵循比较法可比实例的选取原则，根据估价人员掌握的房地产交易市场资料，在估价对象同一供求圈内选择三个与估价对象用途、规模、档次、建筑结构相同或相似的近期交易实例作为可比实例，对影响价格的各项因素及其影响程度进行分析，建立估价对象与可比实例的价格可比基础，并分别进行交易情况修正、交易日期修正、房地产状况修正，求取估价对象房地产的比较价格。</w:t>
      </w:r>
    </w:p>
    <w:p>
      <w:pPr>
        <w:spacing w:line="420" w:lineRule="exact"/>
        <w:ind w:left="2361" w:leftChars="269" w:hanging="1796" w:hangingChars="691"/>
        <w:rPr>
          <w:rFonts w:ascii="宋体"/>
          <w:color w:val="000000"/>
          <w:spacing w:val="10"/>
          <w:sz w:val="24"/>
        </w:rPr>
      </w:pPr>
      <w:r>
        <w:rPr>
          <w:rFonts w:hint="eastAsia" w:ascii="宋体" w:hAnsi="宋体"/>
          <w:color w:val="000000"/>
          <w:spacing w:val="10"/>
          <w:sz w:val="24"/>
        </w:rPr>
        <w:t>公式：估价对象价格</w:t>
      </w:r>
      <w:r>
        <w:rPr>
          <w:rFonts w:ascii="宋体" w:hAnsi="宋体"/>
          <w:color w:val="000000"/>
          <w:spacing w:val="10"/>
          <w:sz w:val="24"/>
        </w:rPr>
        <w:t>=</w:t>
      </w:r>
      <w:r>
        <w:rPr>
          <w:rFonts w:hint="eastAsia" w:ascii="宋体" w:hAnsi="宋体"/>
          <w:color w:val="000000"/>
          <w:spacing w:val="10"/>
          <w:sz w:val="24"/>
        </w:rPr>
        <w:t>可比实例价格×交易情况修正系数×市场状况调整系数×房地产状况调整系数</w:t>
      </w:r>
    </w:p>
    <w:p>
      <w:pPr>
        <w:widowControl/>
        <w:spacing w:line="420" w:lineRule="exact"/>
        <w:ind w:firstLine="522" w:firstLineChars="200"/>
        <w:rPr>
          <w:rFonts w:ascii="黑体" w:hAnsi="宋体" w:eastAsia="黑体"/>
          <w:b/>
          <w:bCs/>
          <w:color w:val="000000"/>
          <w:spacing w:val="10"/>
          <w:sz w:val="24"/>
        </w:rPr>
      </w:pPr>
      <w:r>
        <w:rPr>
          <w:rFonts w:ascii="宋体" w:hAnsi="宋体"/>
          <w:b/>
          <w:bCs/>
          <w:color w:val="000000"/>
          <w:spacing w:val="10"/>
          <w:sz w:val="24"/>
        </w:rPr>
        <w:t>(</w:t>
      </w:r>
      <w:r>
        <w:rPr>
          <w:rFonts w:hint="eastAsia" w:ascii="宋体" w:hAnsi="宋体"/>
          <w:b/>
          <w:bCs/>
          <w:color w:val="000000"/>
          <w:spacing w:val="10"/>
          <w:sz w:val="24"/>
        </w:rPr>
        <w:t>二</w:t>
      </w:r>
      <w:r>
        <w:rPr>
          <w:rFonts w:ascii="宋体" w:hAnsi="宋体"/>
          <w:b/>
          <w:bCs/>
          <w:color w:val="000000"/>
          <w:spacing w:val="10"/>
          <w:sz w:val="24"/>
        </w:rPr>
        <w:t>)</w:t>
      </w:r>
      <w:r>
        <w:rPr>
          <w:rFonts w:hint="eastAsia" w:ascii="宋体" w:hAnsi="宋体"/>
          <w:b/>
          <w:bCs/>
          <w:color w:val="000000"/>
          <w:spacing w:val="10"/>
          <w:sz w:val="24"/>
        </w:rPr>
        <w:t>收益法</w:t>
      </w:r>
    </w:p>
    <w:p>
      <w:pPr>
        <w:widowControl/>
        <w:spacing w:line="420" w:lineRule="exact"/>
        <w:ind w:firstLine="520" w:firstLineChars="200"/>
        <w:rPr>
          <w:rFonts w:ascii="宋体"/>
          <w:color w:val="000000"/>
          <w:spacing w:val="10"/>
          <w:sz w:val="24"/>
        </w:rPr>
      </w:pPr>
      <w:r>
        <w:rPr>
          <w:rFonts w:hint="eastAsia" w:ascii="宋体" w:hAnsi="宋体"/>
          <w:color w:val="000000"/>
          <w:spacing w:val="10"/>
          <w:sz w:val="24"/>
        </w:rPr>
        <w:t>估价技术路线为：先求取估价对象的客观租金和区域内同类型房地产的资本化率。然后求取估价对象的客观费用，用客观租金减去客观费用即得到估价对象的年净收益。再运用所求取的住宅房地产报酬率将其未来各年的净收益折算到价值时点上，计算出估价对象房地产收益价格。</w:t>
      </w:r>
    </w:p>
    <w:p>
      <w:pPr>
        <w:widowControl/>
        <w:spacing w:line="420" w:lineRule="exact"/>
        <w:ind w:firstLine="520" w:firstLineChars="200"/>
        <w:rPr>
          <w:rFonts w:hint="eastAsia" w:ascii="宋体" w:hAnsi="宋体" w:cs="宋体"/>
          <w:color w:val="000000"/>
          <w:spacing w:val="10"/>
          <w:sz w:val="24"/>
          <w:szCs w:val="24"/>
        </w:rPr>
      </w:pPr>
      <w:r>
        <w:rPr>
          <w:rFonts w:hint="eastAsia" w:ascii="宋体" w:hAnsi="宋体"/>
          <w:color w:val="000000"/>
          <w:spacing w:val="10"/>
          <w:sz w:val="24"/>
        </w:rPr>
        <w:t>因收益法的收益模型有多种，估价人员根据对估价对象和周边类似房地产进行调查了解，类似房地产存在持续收益可能，且租金在收益期内一般为逐年递增。故本次估价选用收益期内净收益逐年上涨的模型进行收益价格测算。</w:t>
      </w:r>
    </w:p>
    <w:p>
      <w:pPr>
        <w:widowControl/>
        <w:spacing w:line="420" w:lineRule="exact"/>
        <w:ind w:firstLine="520" w:firstLineChars="200"/>
        <w:rPr>
          <w:rFonts w:ascii="宋体"/>
          <w:color w:val="000000"/>
          <w:spacing w:val="10"/>
          <w:sz w:val="24"/>
          <w:szCs w:val="24"/>
        </w:rPr>
      </w:pPr>
      <w:r>
        <w:rPr>
          <w:rFonts w:hint="eastAsia" w:ascii="宋体" w:hAnsi="宋体" w:cs="宋体"/>
          <w:color w:val="000000"/>
          <w:spacing w:val="10"/>
          <w:sz w:val="24"/>
          <w:szCs w:val="24"/>
        </w:rPr>
        <w:t>收益法的基本公式为：</w:t>
      </w:r>
    </w:p>
    <w:p>
      <w:pPr>
        <w:widowControl/>
        <w:spacing w:line="360" w:lineRule="auto"/>
        <w:ind w:firstLine="520" w:firstLineChars="200"/>
        <w:rPr>
          <w:rFonts w:ascii="宋体"/>
          <w:color w:val="000000"/>
          <w:spacing w:val="10"/>
          <w:sz w:val="24"/>
          <w:szCs w:val="24"/>
        </w:rPr>
      </w:pPr>
      <w:r>
        <w:rPr>
          <w:rFonts w:ascii="宋体" w:hAnsi="宋体" w:cs="宋体"/>
          <w:color w:val="000000"/>
          <w:spacing w:val="10"/>
          <w:sz w:val="24"/>
          <w:szCs w:val="24"/>
        </w:rPr>
        <w:t>P= A/(Y-g)</w:t>
      </w:r>
      <w:r>
        <w:rPr>
          <w:rFonts w:hint="eastAsia" w:ascii="宋体" w:hAnsi="宋体" w:cs="宋体"/>
          <w:color w:val="000000"/>
          <w:spacing w:val="10"/>
          <w:sz w:val="24"/>
          <w:szCs w:val="24"/>
        </w:rPr>
        <w:t>×</w:t>
      </w:r>
      <w:r>
        <w:rPr>
          <w:rFonts w:ascii="宋体"/>
          <w:color w:val="000000"/>
          <w:spacing w:val="10"/>
          <w:sz w:val="24"/>
          <w:szCs w:val="24"/>
        </w:rPr>
        <w:t>{</w:t>
      </w:r>
      <w:r>
        <w:rPr>
          <w:rFonts w:ascii="宋体" w:hAnsi="宋体" w:cs="宋体"/>
          <w:color w:val="000000"/>
          <w:spacing w:val="10"/>
          <w:sz w:val="24"/>
          <w:szCs w:val="24"/>
        </w:rPr>
        <w:t>1-[(1+g)/</w:t>
      </w:r>
      <w:r>
        <w:rPr>
          <w:rFonts w:hint="eastAsia" w:ascii="宋体" w:hAnsi="宋体" w:cs="宋体"/>
          <w:color w:val="000000"/>
          <w:spacing w:val="10"/>
          <w:sz w:val="24"/>
          <w:szCs w:val="24"/>
        </w:rPr>
        <w:t>（</w:t>
      </w:r>
      <w:r>
        <w:rPr>
          <w:rFonts w:ascii="宋体" w:hAnsi="宋体" w:cs="宋体"/>
          <w:color w:val="000000"/>
          <w:spacing w:val="10"/>
          <w:sz w:val="24"/>
          <w:szCs w:val="24"/>
        </w:rPr>
        <w:t>1+Y</w:t>
      </w:r>
      <w:r>
        <w:rPr>
          <w:rFonts w:hint="eastAsia" w:ascii="宋体" w:hAnsi="宋体" w:cs="宋体"/>
          <w:color w:val="000000"/>
          <w:spacing w:val="10"/>
          <w:sz w:val="24"/>
          <w:szCs w:val="24"/>
        </w:rPr>
        <w:t>）</w:t>
      </w:r>
      <w:r>
        <w:rPr>
          <w:rFonts w:ascii="宋体" w:hAnsi="宋体" w:cs="宋体"/>
          <w:color w:val="000000"/>
          <w:spacing w:val="10"/>
          <w:sz w:val="24"/>
          <w:szCs w:val="24"/>
        </w:rPr>
        <w:t>]</w:t>
      </w:r>
      <w:r>
        <w:rPr>
          <w:rFonts w:ascii="宋体" w:hAnsi="宋体" w:cs="宋体"/>
          <w:color w:val="000000"/>
          <w:spacing w:val="10"/>
          <w:sz w:val="24"/>
          <w:szCs w:val="24"/>
          <w:vertAlign w:val="superscript"/>
        </w:rPr>
        <w:t>N</w:t>
      </w:r>
      <w:r>
        <w:rPr>
          <w:rFonts w:ascii="宋体"/>
          <w:color w:val="000000"/>
          <w:spacing w:val="10"/>
          <w:sz w:val="24"/>
          <w:szCs w:val="24"/>
        </w:rPr>
        <w:t>}</w:t>
      </w:r>
    </w:p>
    <w:p>
      <w:pPr>
        <w:widowControl/>
        <w:spacing w:line="360" w:lineRule="auto"/>
        <w:ind w:left="927"/>
        <w:rPr>
          <w:rFonts w:ascii="宋体"/>
          <w:color w:val="000000"/>
          <w:spacing w:val="10"/>
          <w:sz w:val="24"/>
          <w:szCs w:val="24"/>
        </w:rPr>
      </w:pPr>
      <w:r>
        <w:rPr>
          <w:rFonts w:hint="eastAsia" w:ascii="宋体" w:hAnsi="宋体" w:cs="宋体"/>
          <w:color w:val="000000"/>
          <w:spacing w:val="10"/>
          <w:sz w:val="24"/>
          <w:szCs w:val="24"/>
        </w:rPr>
        <w:t>式中：</w:t>
      </w:r>
      <w:r>
        <w:rPr>
          <w:rFonts w:ascii="宋体" w:hAnsi="宋体" w:cs="宋体"/>
          <w:color w:val="000000"/>
          <w:spacing w:val="10"/>
          <w:sz w:val="24"/>
          <w:szCs w:val="24"/>
        </w:rPr>
        <w:t>P ---</w:t>
      </w:r>
      <w:r>
        <w:rPr>
          <w:rFonts w:hint="eastAsia" w:ascii="宋体" w:hAnsi="宋体" w:cs="宋体"/>
          <w:color w:val="000000"/>
          <w:spacing w:val="10"/>
          <w:sz w:val="24"/>
          <w:szCs w:val="24"/>
        </w:rPr>
        <w:t>房地产价格</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A ---</w:t>
      </w:r>
      <w:r>
        <w:rPr>
          <w:rFonts w:hint="eastAsia" w:ascii="宋体" w:hAnsi="宋体" w:cs="宋体"/>
          <w:color w:val="000000"/>
          <w:spacing w:val="10"/>
          <w:sz w:val="24"/>
          <w:szCs w:val="24"/>
        </w:rPr>
        <w:t>房地产年净收益</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Y ---</w:t>
      </w:r>
      <w:r>
        <w:rPr>
          <w:rFonts w:hint="eastAsia" w:ascii="宋体" w:hAnsi="宋体" w:cs="宋体"/>
          <w:color w:val="000000"/>
          <w:spacing w:val="10"/>
          <w:sz w:val="24"/>
          <w:szCs w:val="24"/>
        </w:rPr>
        <w:t>报酬率</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g ---</w:t>
      </w:r>
      <w:r>
        <w:rPr>
          <w:rFonts w:hint="eastAsia" w:ascii="宋体" w:hAnsi="宋体" w:cs="宋体"/>
          <w:color w:val="000000"/>
          <w:spacing w:val="10"/>
          <w:sz w:val="24"/>
          <w:szCs w:val="24"/>
        </w:rPr>
        <w:t>上涨率</w:t>
      </w:r>
    </w:p>
    <w:p>
      <w:pPr>
        <w:widowControl/>
        <w:spacing w:line="360" w:lineRule="auto"/>
        <w:ind w:firstLine="520" w:firstLineChars="200"/>
        <w:rPr>
          <w:rFonts w:ascii="宋体"/>
          <w:color w:val="000000"/>
          <w:spacing w:val="10"/>
          <w:sz w:val="24"/>
          <w:szCs w:val="24"/>
        </w:rPr>
      </w:pPr>
      <w:r>
        <w:rPr>
          <w:rFonts w:ascii="宋体" w:hAnsi="宋体" w:cs="宋体"/>
          <w:color w:val="000000"/>
          <w:spacing w:val="10"/>
          <w:sz w:val="24"/>
          <w:szCs w:val="24"/>
        </w:rPr>
        <w:t xml:space="preserve">         N ---</w:t>
      </w:r>
      <w:r>
        <w:rPr>
          <w:rFonts w:hint="eastAsia" w:ascii="宋体" w:hAnsi="宋体" w:cs="宋体"/>
          <w:color w:val="000000"/>
          <w:spacing w:val="10"/>
          <w:sz w:val="24"/>
          <w:szCs w:val="24"/>
        </w:rPr>
        <w:t>收益年限</w:t>
      </w:r>
    </w:p>
    <w:p>
      <w:pPr>
        <w:pStyle w:val="3"/>
        <w:snapToGrid/>
        <w:spacing w:line="360" w:lineRule="auto"/>
        <w:rPr>
          <w:rFonts w:ascii="宋体" w:hAnsi="宋体" w:eastAsia="宋体" w:cs="Times New Roman"/>
          <w:spacing w:val="10"/>
          <w:sz w:val="24"/>
          <w:szCs w:val="24"/>
        </w:rPr>
      </w:pPr>
      <w:bookmarkStart w:id="26" w:name="_Toc256000013"/>
      <w:bookmarkStart w:id="27" w:name="_Toc4230"/>
      <w:r>
        <w:rPr>
          <w:rFonts w:hint="eastAsia" w:ascii="宋体" w:hAnsi="宋体" w:eastAsia="宋体" w:cs="宋体"/>
          <w:spacing w:val="10"/>
          <w:sz w:val="24"/>
          <w:szCs w:val="24"/>
        </w:rPr>
        <w:t>十、估价结果</w:t>
      </w:r>
      <w:bookmarkEnd w:id="26"/>
      <w:bookmarkEnd w:id="27"/>
    </w:p>
    <w:p>
      <w:pPr>
        <w:widowControl/>
        <w:spacing w:line="440" w:lineRule="exact"/>
        <w:ind w:firstLine="520" w:firstLineChars="200"/>
        <w:rPr>
          <w:rFonts w:hint="eastAsia" w:ascii="宋体" w:hAnsi="宋体" w:cs="宋体"/>
          <w:b/>
          <w:bCs/>
          <w:color w:val="000000"/>
          <w:spacing w:val="10"/>
          <w:sz w:val="24"/>
          <w:szCs w:val="24"/>
        </w:rPr>
      </w:pPr>
      <w:r>
        <w:rPr>
          <w:rFonts w:hint="eastAsia" w:ascii="宋体" w:hAnsi="宋体" w:cs="宋体"/>
          <w:spacing w:val="10"/>
          <w:sz w:val="24"/>
          <w:szCs w:val="24"/>
        </w:rPr>
        <w:t>本公司根据估价目的，遵循估价原则，采用科学合理的估价方法，在认真分析现有资料的基础上，经过测算，结合估价经验与对影响房地产市场价格因素进行分析，确定估价对象在市场上有足够的买方和卖方，并且进入市场无障碍的条件下，</w:t>
      </w:r>
      <w:r>
        <w:rPr>
          <w:rFonts w:hint="eastAsia" w:ascii="宋体" w:hAnsi="宋体" w:cs="宋体"/>
          <w:color w:val="000000"/>
          <w:sz w:val="24"/>
          <w:szCs w:val="24"/>
        </w:rPr>
        <w:t>于价值时点的市场价值总价为</w:t>
      </w:r>
      <w:r>
        <w:rPr>
          <w:rFonts w:hint="eastAsia" w:ascii="宋体" w:hAnsi="宋体" w:cs="宋体"/>
          <w:color w:val="000000"/>
          <w:sz w:val="24"/>
          <w:szCs w:val="24"/>
          <w:lang w:eastAsia="zh-CN"/>
        </w:rPr>
        <w:t>167.6803万元</w:t>
      </w:r>
      <w:r>
        <w:rPr>
          <w:rFonts w:ascii="宋体" w:hAnsi="宋体" w:cs="宋体"/>
          <w:color w:val="000000"/>
          <w:kern w:val="0"/>
          <w:sz w:val="24"/>
          <w:szCs w:val="24"/>
        </w:rPr>
        <w:t>(</w:t>
      </w:r>
      <w:r>
        <w:rPr>
          <w:rFonts w:hint="eastAsia" w:ascii="宋体" w:hAnsi="宋体" w:cs="宋体"/>
          <w:color w:val="000000"/>
          <w:kern w:val="0"/>
          <w:sz w:val="24"/>
          <w:szCs w:val="24"/>
          <w:lang w:eastAsia="zh-CN"/>
        </w:rPr>
        <w:t>大写：人民币壹佰陆拾柒万陆仟捌佰零叁元整</w:t>
      </w:r>
      <w:r>
        <w:rPr>
          <w:rFonts w:ascii="宋体" w:hAnsi="宋体" w:cs="宋体"/>
          <w:color w:val="000000"/>
          <w:kern w:val="0"/>
          <w:sz w:val="24"/>
          <w:szCs w:val="24"/>
        </w:rPr>
        <w:t>)</w:t>
      </w:r>
      <w:r>
        <w:rPr>
          <w:rFonts w:hint="eastAsia" w:ascii="宋体" w:hAnsi="宋体" w:cs="宋体"/>
          <w:color w:val="000000"/>
          <w:spacing w:val="10"/>
          <w:sz w:val="24"/>
          <w:szCs w:val="24"/>
        </w:rPr>
        <w:t>。</w:t>
      </w:r>
    </w:p>
    <w:p>
      <w:pPr>
        <w:widowControl/>
        <w:spacing w:line="360" w:lineRule="auto"/>
        <w:ind w:firstLine="522" w:firstLineChars="200"/>
        <w:jc w:val="center"/>
        <w:rPr>
          <w:rFonts w:hint="eastAsia" w:ascii="宋体" w:hAnsi="宋体" w:cs="宋体"/>
          <w:b/>
          <w:bCs/>
          <w:color w:val="000000"/>
          <w:spacing w:val="10"/>
          <w:sz w:val="24"/>
          <w:szCs w:val="24"/>
        </w:rPr>
      </w:pPr>
      <w:r>
        <w:rPr>
          <w:rFonts w:hint="eastAsia" w:ascii="宋体" w:hAnsi="宋体" w:cs="宋体"/>
          <w:b/>
          <w:bCs/>
          <w:color w:val="000000"/>
          <w:spacing w:val="10"/>
          <w:sz w:val="24"/>
          <w:szCs w:val="24"/>
        </w:rPr>
        <w:t>估价结果一览表</w:t>
      </w:r>
    </w:p>
    <w:tbl>
      <w:tblPr>
        <w:tblStyle w:val="40"/>
        <w:tblW w:w="8644" w:type="dxa"/>
        <w:jc w:val="center"/>
        <w:tblInd w:w="0" w:type="dxa"/>
        <w:tblLayout w:type="fixed"/>
        <w:tblCellMar>
          <w:top w:w="0" w:type="dxa"/>
          <w:left w:w="108" w:type="dxa"/>
          <w:bottom w:w="0" w:type="dxa"/>
          <w:right w:w="108" w:type="dxa"/>
        </w:tblCellMar>
      </w:tblPr>
      <w:tblGrid>
        <w:gridCol w:w="321"/>
        <w:gridCol w:w="870"/>
        <w:gridCol w:w="690"/>
        <w:gridCol w:w="735"/>
        <w:gridCol w:w="465"/>
        <w:gridCol w:w="585"/>
        <w:gridCol w:w="705"/>
        <w:gridCol w:w="708"/>
        <w:gridCol w:w="747"/>
        <w:gridCol w:w="630"/>
        <w:gridCol w:w="676"/>
        <w:gridCol w:w="757"/>
        <w:gridCol w:w="755"/>
      </w:tblGrid>
      <w:tr>
        <w:tblPrEx>
          <w:tblLayout w:type="fixed"/>
          <w:tblCellMar>
            <w:top w:w="0" w:type="dxa"/>
            <w:left w:w="108" w:type="dxa"/>
            <w:bottom w:w="0" w:type="dxa"/>
            <w:right w:w="108" w:type="dxa"/>
          </w:tblCellMar>
        </w:tblPrEx>
        <w:trPr>
          <w:trHeight w:val="480" w:hRule="atLeast"/>
          <w:jc w:val="center"/>
        </w:trPr>
        <w:tc>
          <w:tcPr>
            <w:tcW w:w="3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87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69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73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46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58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70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70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747"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63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登记用途</w:t>
            </w:r>
          </w:p>
        </w:tc>
        <w:tc>
          <w:tcPr>
            <w:tcW w:w="67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c>
          <w:tcPr>
            <w:tcW w:w="75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r>
              <w:rPr>
                <w:rFonts w:hint="eastAsia" w:ascii="宋体" w:hAnsi="宋体" w:cs="宋体"/>
                <w:kern w:val="0"/>
                <w:sz w:val="20"/>
                <w:szCs w:val="20"/>
              </w:rPr>
              <w:t>评估单价（元/㎡）</w:t>
            </w:r>
          </w:p>
        </w:tc>
        <w:tc>
          <w:tcPr>
            <w:tcW w:w="7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r>
              <w:rPr>
                <w:rFonts w:hint="eastAsia" w:ascii="宋体" w:hAnsi="宋体" w:cs="宋体"/>
                <w:kern w:val="0"/>
                <w:sz w:val="20"/>
                <w:szCs w:val="20"/>
              </w:rPr>
              <w:t>评估总价（万元）</w:t>
            </w:r>
          </w:p>
        </w:tc>
      </w:tr>
      <w:tr>
        <w:tblPrEx>
          <w:tblLayout w:type="fixed"/>
          <w:tblCellMar>
            <w:top w:w="0" w:type="dxa"/>
            <w:left w:w="108" w:type="dxa"/>
            <w:bottom w:w="0" w:type="dxa"/>
            <w:right w:w="108" w:type="dxa"/>
          </w:tblCellMar>
        </w:tblPrEx>
        <w:trPr>
          <w:trHeight w:val="420" w:hRule="atLeast"/>
          <w:jc w:val="center"/>
        </w:trPr>
        <w:tc>
          <w:tcPr>
            <w:tcW w:w="321"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690"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秦方</w:t>
            </w:r>
          </w:p>
        </w:tc>
        <w:tc>
          <w:tcPr>
            <w:tcW w:w="735"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46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58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101</w:t>
            </w:r>
          </w:p>
        </w:tc>
        <w:tc>
          <w:tcPr>
            <w:tcW w:w="70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70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40.09</w:t>
            </w: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63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67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c>
          <w:tcPr>
            <w:tcW w:w="75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11189</w:t>
            </w:r>
          </w:p>
        </w:tc>
        <w:tc>
          <w:tcPr>
            <w:tcW w:w="7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44.8567</w:t>
            </w:r>
          </w:p>
        </w:tc>
      </w:tr>
      <w:tr>
        <w:tblPrEx>
          <w:tblLayout w:type="fixed"/>
          <w:tblCellMar>
            <w:top w:w="0" w:type="dxa"/>
            <w:left w:w="108" w:type="dxa"/>
            <w:bottom w:w="0" w:type="dxa"/>
            <w:right w:w="108" w:type="dxa"/>
          </w:tblCellMar>
        </w:tblPrEx>
        <w:trPr>
          <w:trHeight w:val="330" w:hRule="atLeast"/>
          <w:jc w:val="center"/>
        </w:trPr>
        <w:tc>
          <w:tcPr>
            <w:tcW w:w="321"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2</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714000060</w:t>
            </w:r>
          </w:p>
        </w:tc>
        <w:tc>
          <w:tcPr>
            <w:tcW w:w="690"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73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46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8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104</w:t>
            </w:r>
          </w:p>
        </w:tc>
        <w:tc>
          <w:tcPr>
            <w:tcW w:w="70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70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63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67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c>
          <w:tcPr>
            <w:tcW w:w="75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5502</w:t>
            </w:r>
          </w:p>
        </w:tc>
        <w:tc>
          <w:tcPr>
            <w:tcW w:w="7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22.0575</w:t>
            </w:r>
          </w:p>
        </w:tc>
      </w:tr>
      <w:tr>
        <w:tblPrEx>
          <w:tblLayout w:type="fixed"/>
          <w:tblCellMar>
            <w:top w:w="0" w:type="dxa"/>
            <w:left w:w="108" w:type="dxa"/>
            <w:bottom w:w="0" w:type="dxa"/>
            <w:right w:w="108" w:type="dxa"/>
          </w:tblCellMar>
        </w:tblPrEx>
        <w:trPr>
          <w:trHeight w:val="360" w:hRule="atLeast"/>
          <w:jc w:val="center"/>
        </w:trPr>
        <w:tc>
          <w:tcPr>
            <w:tcW w:w="321"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3</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690"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73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46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8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105</w:t>
            </w:r>
          </w:p>
        </w:tc>
        <w:tc>
          <w:tcPr>
            <w:tcW w:w="70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70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630"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67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商业</w:t>
            </w:r>
          </w:p>
        </w:tc>
        <w:tc>
          <w:tcPr>
            <w:tcW w:w="75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5502</w:t>
            </w:r>
          </w:p>
        </w:tc>
        <w:tc>
          <w:tcPr>
            <w:tcW w:w="755"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22.0575</w:t>
            </w:r>
          </w:p>
        </w:tc>
      </w:tr>
      <w:tr>
        <w:tblPrEx>
          <w:tblLayout w:type="fixed"/>
          <w:tblCellMar>
            <w:top w:w="0" w:type="dxa"/>
            <w:left w:w="108" w:type="dxa"/>
            <w:bottom w:w="0" w:type="dxa"/>
            <w:right w:w="108" w:type="dxa"/>
          </w:tblCellMar>
        </w:tblPrEx>
        <w:trPr>
          <w:trHeight w:val="375" w:hRule="atLeast"/>
          <w:jc w:val="center"/>
        </w:trPr>
        <w:tc>
          <w:tcPr>
            <w:tcW w:w="321"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4</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714000061</w:t>
            </w:r>
          </w:p>
        </w:tc>
        <w:tc>
          <w:tcPr>
            <w:tcW w:w="690"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73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46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58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70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70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630"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住宅</w:t>
            </w:r>
          </w:p>
        </w:tc>
        <w:tc>
          <w:tcPr>
            <w:tcW w:w="67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c>
          <w:tcPr>
            <w:tcW w:w="75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755"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26.2262</w:t>
            </w:r>
          </w:p>
        </w:tc>
      </w:tr>
      <w:tr>
        <w:tblPrEx>
          <w:tblLayout w:type="fixed"/>
          <w:tblCellMar>
            <w:top w:w="0" w:type="dxa"/>
            <w:left w:w="108" w:type="dxa"/>
            <w:bottom w:w="0" w:type="dxa"/>
            <w:right w:w="108" w:type="dxa"/>
          </w:tblCellMar>
        </w:tblPrEx>
        <w:trPr>
          <w:trHeight w:val="375" w:hRule="atLeast"/>
          <w:jc w:val="center"/>
        </w:trPr>
        <w:tc>
          <w:tcPr>
            <w:tcW w:w="321"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5</w:t>
            </w:r>
          </w:p>
        </w:tc>
        <w:tc>
          <w:tcPr>
            <w:tcW w:w="87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709000249</w:t>
            </w:r>
          </w:p>
        </w:tc>
        <w:tc>
          <w:tcPr>
            <w:tcW w:w="690"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73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46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8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70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70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630"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val="en-US" w:eastAsia="zh-CN"/>
              </w:rPr>
            </w:pPr>
            <w:r>
              <w:rPr>
                <w:rFonts w:hint="eastAsia" w:ascii="宋体"/>
                <w:color w:val="000000"/>
                <w:kern w:val="0"/>
                <w:sz w:val="20"/>
                <w:szCs w:val="20"/>
                <w:lang w:val="en-US" w:eastAsia="zh-CN"/>
              </w:rPr>
              <w:t>综合</w:t>
            </w:r>
          </w:p>
        </w:tc>
        <w:tc>
          <w:tcPr>
            <w:tcW w:w="67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住宅</w:t>
            </w:r>
          </w:p>
        </w:tc>
        <w:tc>
          <w:tcPr>
            <w:tcW w:w="75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755"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26.2262</w:t>
            </w:r>
          </w:p>
        </w:tc>
      </w:tr>
      <w:tr>
        <w:tblPrEx>
          <w:tblLayout w:type="fixed"/>
          <w:tblCellMar>
            <w:top w:w="0" w:type="dxa"/>
            <w:left w:w="108" w:type="dxa"/>
            <w:bottom w:w="0" w:type="dxa"/>
            <w:right w:w="108" w:type="dxa"/>
          </w:tblCellMar>
        </w:tblPrEx>
        <w:trPr>
          <w:trHeight w:val="390" w:hRule="atLeast"/>
          <w:jc w:val="center"/>
        </w:trPr>
        <w:tc>
          <w:tcPr>
            <w:tcW w:w="321"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6</w:t>
            </w:r>
          </w:p>
        </w:tc>
        <w:tc>
          <w:tcPr>
            <w:tcW w:w="870"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color w:val="000000"/>
                <w:kern w:val="0"/>
                <w:sz w:val="20"/>
                <w:szCs w:val="20"/>
                <w:lang w:val="en-US" w:eastAsia="zh-CN"/>
              </w:rPr>
              <w:t>709000249</w:t>
            </w:r>
          </w:p>
        </w:tc>
        <w:tc>
          <w:tcPr>
            <w:tcW w:w="690"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73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46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8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306</w:t>
            </w:r>
          </w:p>
        </w:tc>
        <w:tc>
          <w:tcPr>
            <w:tcW w:w="70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70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96.53</w:t>
            </w: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630"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67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c>
          <w:tcPr>
            <w:tcW w:w="75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755"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26.2562</w:t>
            </w:r>
          </w:p>
        </w:tc>
      </w:tr>
      <w:tr>
        <w:tblPrEx>
          <w:tblLayout w:type="fixed"/>
          <w:tblCellMar>
            <w:top w:w="0" w:type="dxa"/>
            <w:left w:w="108" w:type="dxa"/>
            <w:bottom w:w="0" w:type="dxa"/>
            <w:right w:w="108" w:type="dxa"/>
          </w:tblCellMar>
        </w:tblPrEx>
        <w:trPr>
          <w:trHeight w:val="375" w:hRule="atLeast"/>
          <w:jc w:val="center"/>
        </w:trPr>
        <w:tc>
          <w:tcPr>
            <w:tcW w:w="32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70"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690"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735"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46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58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70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70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409.64</w:t>
            </w: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630"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67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57"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167.6803</w:t>
            </w:r>
          </w:p>
        </w:tc>
      </w:tr>
    </w:tbl>
    <w:p>
      <w:pPr>
        <w:pStyle w:val="3"/>
        <w:snapToGrid/>
        <w:spacing w:line="360" w:lineRule="auto"/>
      </w:pPr>
      <w:bookmarkStart w:id="28" w:name="_Toc1633"/>
      <w:bookmarkStart w:id="29" w:name="_Toc256000014"/>
      <w:r>
        <w:rPr>
          <w:rFonts w:hint="eastAsia" w:ascii="宋体" w:hAnsi="宋体" w:eastAsia="宋体" w:cs="宋体"/>
          <w:kern w:val="0"/>
          <w:sz w:val="24"/>
          <w:szCs w:val="24"/>
        </w:rPr>
        <w:t>十一、估价人员</w:t>
      </w:r>
      <w:bookmarkEnd w:id="28"/>
      <w:bookmarkEnd w:id="29"/>
    </w:p>
    <w:p>
      <w:pPr>
        <w:widowControl/>
        <w:spacing w:line="360" w:lineRule="auto"/>
        <w:ind w:firstLine="2938" w:firstLineChars="1130"/>
        <w:rPr>
          <w:rFonts w:ascii="宋体"/>
          <w:color w:val="000000"/>
          <w:spacing w:val="10"/>
          <w:sz w:val="24"/>
          <w:szCs w:val="24"/>
        </w:rPr>
      </w:pPr>
      <w:r>
        <w:rPr>
          <w:rFonts w:hint="eastAsia" w:ascii="宋体" w:hAnsi="宋体" w:cs="宋体"/>
          <w:color w:val="000000"/>
          <w:spacing w:val="10"/>
          <w:sz w:val="24"/>
          <w:szCs w:val="24"/>
        </w:rPr>
        <w:t>参加估价的注册房地产估价师</w:t>
      </w:r>
    </w:p>
    <w:tbl>
      <w:tblPr>
        <w:tblStyle w:val="40"/>
        <w:tblW w:w="86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6"/>
        <w:gridCol w:w="2156"/>
        <w:gridCol w:w="2157"/>
        <w:gridCol w:w="21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hint="eastAsia" w:ascii="宋体" w:hAnsi="宋体" w:cs="宋体"/>
                <w:color w:val="000000"/>
                <w:spacing w:val="10"/>
                <w:sz w:val="24"/>
                <w:szCs w:val="24"/>
              </w:rPr>
              <w:t>姓名</w:t>
            </w:r>
          </w:p>
        </w:tc>
        <w:tc>
          <w:tcPr>
            <w:tcW w:w="21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hint="eastAsia" w:ascii="宋体" w:hAnsi="宋体" w:cs="宋体"/>
                <w:color w:val="000000"/>
                <w:spacing w:val="10"/>
                <w:sz w:val="24"/>
                <w:szCs w:val="24"/>
              </w:rPr>
              <w:t>注册号</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hint="eastAsia" w:ascii="宋体" w:hAnsi="宋体" w:cs="宋体"/>
                <w:color w:val="000000"/>
                <w:spacing w:val="10"/>
                <w:sz w:val="24"/>
                <w:szCs w:val="24"/>
              </w:rPr>
              <w:t>签名</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hint="eastAsia" w:ascii="宋体" w:hAnsi="宋体" w:cs="宋体"/>
                <w:color w:val="000000"/>
                <w:spacing w:val="10"/>
                <w:sz w:val="24"/>
                <w:szCs w:val="24"/>
              </w:rPr>
              <w:t>签名日期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hint="eastAsia" w:ascii="宋体" w:hAnsi="宋体" w:cs="宋体"/>
                <w:color w:val="000000"/>
                <w:spacing w:val="10"/>
                <w:sz w:val="24"/>
                <w:szCs w:val="24"/>
              </w:rPr>
              <w:t>李叶</w:t>
            </w:r>
          </w:p>
        </w:tc>
        <w:tc>
          <w:tcPr>
            <w:tcW w:w="21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ascii="宋体" w:hAnsi="宋体" w:cs="宋体"/>
                <w:color w:val="000000"/>
                <w:spacing w:val="10"/>
                <w:sz w:val="24"/>
                <w:szCs w:val="24"/>
              </w:rPr>
              <w:t>4320110041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p>
          <w:p>
            <w:pPr>
              <w:widowControl/>
              <w:spacing w:line="360" w:lineRule="auto"/>
              <w:jc w:val="center"/>
              <w:rPr>
                <w:rFonts w:ascii="宋体"/>
                <w:color w:val="000000"/>
                <w:spacing w:val="10"/>
                <w:sz w:val="24"/>
                <w:szCs w:val="24"/>
              </w:rPr>
            </w:pPr>
          </w:p>
          <w:p>
            <w:pPr>
              <w:widowControl/>
              <w:spacing w:line="360" w:lineRule="auto"/>
              <w:jc w:val="center"/>
              <w:rPr>
                <w:rFonts w:ascii="宋体"/>
                <w:color w:val="000000"/>
                <w:spacing w:val="10"/>
                <w:sz w:val="24"/>
                <w:szCs w:val="24"/>
              </w:rPr>
            </w:pP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ascii="宋体"/>
                <w:color w:val="000000"/>
                <w:spacing w:val="10"/>
                <w:sz w:val="24"/>
                <w:szCs w:val="24"/>
              </w:rPr>
            </w:pPr>
            <w:r>
              <w:rPr>
                <w:rFonts w:ascii="宋体" w:hAnsi="宋体" w:cs="宋体"/>
                <w:color w:val="000000"/>
                <w:spacing w:val="10"/>
                <w:sz w:val="24"/>
                <w:szCs w:val="24"/>
              </w:rPr>
              <w:t>201</w:t>
            </w:r>
            <w:r>
              <w:rPr>
                <w:rFonts w:hint="eastAsia" w:ascii="宋体" w:hAnsi="宋体" w:cs="宋体"/>
                <w:color w:val="000000"/>
                <w:spacing w:val="10"/>
                <w:sz w:val="24"/>
                <w:szCs w:val="24"/>
                <w:lang w:val="en-US" w:eastAsia="zh-CN"/>
              </w:rPr>
              <w:t>9</w:t>
            </w:r>
            <w:r>
              <w:rPr>
                <w:rFonts w:hint="eastAsia" w:ascii="宋体" w:hAnsi="宋体" w:cs="宋体"/>
                <w:color w:val="000000"/>
                <w:spacing w:val="10"/>
                <w:sz w:val="24"/>
                <w:szCs w:val="24"/>
              </w:rPr>
              <w:t>年</w:t>
            </w:r>
            <w:r>
              <w:rPr>
                <w:rFonts w:ascii="宋体" w:hAnsi="宋体" w:cs="宋体"/>
                <w:color w:val="000000"/>
                <w:spacing w:val="10"/>
                <w:sz w:val="24"/>
                <w:szCs w:val="24"/>
              </w:rPr>
              <w:t xml:space="preserve">  </w:t>
            </w:r>
            <w:r>
              <w:rPr>
                <w:rFonts w:hint="eastAsia" w:ascii="宋体" w:hAnsi="宋体" w:cs="宋体"/>
                <w:color w:val="000000"/>
                <w:spacing w:val="10"/>
                <w:sz w:val="24"/>
                <w:szCs w:val="24"/>
              </w:rPr>
              <w:t>月</w:t>
            </w:r>
            <w:r>
              <w:rPr>
                <w:rFonts w:ascii="宋体" w:hAnsi="宋体" w:cs="宋体"/>
                <w:color w:val="000000"/>
                <w:spacing w:val="10"/>
                <w:sz w:val="24"/>
                <w:szCs w:val="24"/>
              </w:rPr>
              <w:t xml:space="preserve">  </w:t>
            </w:r>
            <w:r>
              <w:rPr>
                <w:rFonts w:hint="eastAsia" w:ascii="宋体" w:hAnsi="宋体" w:cs="宋体"/>
                <w:color w:val="000000"/>
                <w:spacing w:val="10"/>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hint="eastAsia" w:ascii="宋体" w:hAnsi="宋体" w:cs="宋体"/>
                <w:color w:val="000000"/>
                <w:spacing w:val="10"/>
                <w:sz w:val="24"/>
                <w:szCs w:val="24"/>
              </w:rPr>
              <w:t>张剑</w:t>
            </w:r>
          </w:p>
        </w:tc>
        <w:tc>
          <w:tcPr>
            <w:tcW w:w="215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ascii="宋体" w:hAnsi="宋体" w:cs="宋体"/>
                <w:color w:val="000000"/>
                <w:spacing w:val="10"/>
                <w:sz w:val="24"/>
                <w:szCs w:val="24"/>
              </w:rPr>
              <w:t>4320130025</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p>
          <w:p>
            <w:pPr>
              <w:widowControl/>
              <w:spacing w:line="360" w:lineRule="auto"/>
              <w:jc w:val="center"/>
              <w:rPr>
                <w:rFonts w:ascii="宋体"/>
                <w:color w:val="000000"/>
                <w:spacing w:val="10"/>
                <w:sz w:val="24"/>
                <w:szCs w:val="24"/>
              </w:rPr>
            </w:pPr>
          </w:p>
          <w:p>
            <w:pPr>
              <w:widowControl/>
              <w:spacing w:line="360" w:lineRule="auto"/>
              <w:jc w:val="center"/>
              <w:rPr>
                <w:rFonts w:ascii="宋体"/>
                <w:color w:val="000000"/>
                <w:spacing w:val="10"/>
                <w:sz w:val="24"/>
                <w:szCs w:val="24"/>
              </w:rPr>
            </w:pP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color w:val="000000"/>
                <w:spacing w:val="10"/>
                <w:sz w:val="24"/>
                <w:szCs w:val="24"/>
              </w:rPr>
            </w:pPr>
            <w:r>
              <w:rPr>
                <w:rFonts w:ascii="宋体" w:hAnsi="宋体" w:cs="宋体"/>
                <w:color w:val="000000"/>
                <w:spacing w:val="10"/>
                <w:sz w:val="24"/>
                <w:szCs w:val="24"/>
              </w:rPr>
              <w:t>201</w:t>
            </w:r>
            <w:r>
              <w:rPr>
                <w:rFonts w:hint="eastAsia" w:ascii="宋体" w:hAnsi="宋体" w:cs="宋体"/>
                <w:color w:val="000000"/>
                <w:spacing w:val="10"/>
                <w:sz w:val="24"/>
                <w:szCs w:val="24"/>
                <w:lang w:val="en-US" w:eastAsia="zh-CN"/>
              </w:rPr>
              <w:t>9</w:t>
            </w:r>
            <w:bookmarkStart w:id="38" w:name="_GoBack"/>
            <w:bookmarkEnd w:id="38"/>
            <w:r>
              <w:rPr>
                <w:rFonts w:hint="eastAsia" w:ascii="宋体" w:hAnsi="宋体" w:cs="宋体"/>
                <w:color w:val="000000"/>
                <w:spacing w:val="10"/>
                <w:sz w:val="24"/>
                <w:szCs w:val="24"/>
              </w:rPr>
              <w:t>年</w:t>
            </w:r>
            <w:r>
              <w:rPr>
                <w:rFonts w:ascii="宋体" w:hAnsi="宋体" w:cs="宋体"/>
                <w:color w:val="000000"/>
                <w:spacing w:val="10"/>
                <w:sz w:val="24"/>
                <w:szCs w:val="24"/>
              </w:rPr>
              <w:t xml:space="preserve">  </w:t>
            </w:r>
            <w:r>
              <w:rPr>
                <w:rFonts w:hint="eastAsia" w:ascii="宋体" w:hAnsi="宋体" w:cs="宋体"/>
                <w:color w:val="000000"/>
                <w:spacing w:val="10"/>
                <w:sz w:val="24"/>
                <w:szCs w:val="24"/>
              </w:rPr>
              <w:t>月</w:t>
            </w:r>
            <w:r>
              <w:rPr>
                <w:rFonts w:ascii="宋体" w:hAnsi="宋体" w:cs="宋体"/>
                <w:color w:val="000000"/>
                <w:spacing w:val="10"/>
                <w:sz w:val="24"/>
                <w:szCs w:val="24"/>
              </w:rPr>
              <w:t xml:space="preserve">  </w:t>
            </w:r>
            <w:r>
              <w:rPr>
                <w:rFonts w:hint="eastAsia" w:ascii="宋体" w:hAnsi="宋体" w:cs="宋体"/>
                <w:color w:val="000000"/>
                <w:spacing w:val="10"/>
                <w:sz w:val="24"/>
                <w:szCs w:val="24"/>
              </w:rPr>
              <w:t>日</w:t>
            </w:r>
          </w:p>
        </w:tc>
      </w:tr>
    </w:tbl>
    <w:p>
      <w:pPr>
        <w:pStyle w:val="3"/>
        <w:snapToGrid/>
        <w:spacing w:line="360" w:lineRule="auto"/>
        <w:rPr>
          <w:rFonts w:ascii="宋体" w:hAnsi="宋体" w:eastAsia="宋体" w:cs="Times New Roman"/>
          <w:b w:val="0"/>
          <w:bCs w:val="0"/>
          <w:kern w:val="0"/>
          <w:sz w:val="24"/>
          <w:szCs w:val="24"/>
        </w:rPr>
      </w:pPr>
      <w:bookmarkStart w:id="30" w:name="_Toc478"/>
      <w:bookmarkStart w:id="31" w:name="_Toc256000015"/>
      <w:r>
        <w:rPr>
          <w:rFonts w:hint="eastAsia" w:ascii="宋体" w:hAnsi="宋体" w:eastAsia="宋体" w:cs="宋体"/>
          <w:b w:val="0"/>
          <w:bCs w:val="0"/>
          <w:kern w:val="0"/>
          <w:sz w:val="24"/>
          <w:szCs w:val="24"/>
        </w:rPr>
        <w:t>估价助理人员：</w:t>
      </w:r>
    </w:p>
    <w:p>
      <w:pPr>
        <w:pStyle w:val="3"/>
        <w:snapToGrid/>
        <w:spacing w:line="360" w:lineRule="auto"/>
        <w:rPr>
          <w:rFonts w:ascii="宋体" w:hAnsi="宋体" w:eastAsia="宋体" w:cs="Times New Roman"/>
          <w:kern w:val="0"/>
          <w:sz w:val="24"/>
          <w:szCs w:val="24"/>
        </w:rPr>
      </w:pPr>
      <w:r>
        <w:rPr>
          <w:rFonts w:hint="eastAsia" w:ascii="宋体" w:hAnsi="宋体" w:eastAsia="宋体" w:cs="宋体"/>
          <w:kern w:val="0"/>
          <w:sz w:val="24"/>
          <w:szCs w:val="24"/>
        </w:rPr>
        <w:t>十二、实地查勘期</w:t>
      </w:r>
      <w:bookmarkEnd w:id="30"/>
      <w:bookmarkEnd w:id="31"/>
    </w:p>
    <w:p>
      <w:pPr>
        <w:spacing w:line="360" w:lineRule="auto"/>
        <w:ind w:firstLine="480" w:firstLineChars="200"/>
        <w:rPr>
          <w:rFonts w:ascii="宋体"/>
          <w:sz w:val="24"/>
          <w:szCs w:val="24"/>
        </w:rPr>
      </w:pPr>
      <w:r>
        <w:rPr>
          <w:rFonts w:ascii="宋体" w:hAnsi="宋体" w:cs="宋体"/>
          <w:sz w:val="24"/>
          <w:szCs w:val="24"/>
        </w:rPr>
        <w:t>201</w:t>
      </w:r>
      <w:r>
        <w:rPr>
          <w:rFonts w:hint="eastAsia" w:ascii="宋体" w:hAnsi="宋体" w:cs="宋体"/>
          <w:sz w:val="24"/>
          <w:szCs w:val="24"/>
          <w:lang w:val="en-US" w:eastAsia="zh-CN"/>
        </w:rPr>
        <w:t>9</w:t>
      </w:r>
      <w:r>
        <w:rPr>
          <w:rFonts w:hint="eastAsia" w:ascii="宋体" w:hAnsi="宋体" w:cs="宋体"/>
          <w:sz w:val="24"/>
          <w:szCs w:val="24"/>
        </w:rPr>
        <w:t>年</w:t>
      </w:r>
      <w:r>
        <w:rPr>
          <w:rFonts w:hint="eastAsia" w:ascii="宋体" w:hAnsi="宋体" w:cs="宋体"/>
          <w:sz w:val="24"/>
          <w:szCs w:val="24"/>
          <w:lang w:val="en-US" w:eastAsia="zh-CN"/>
        </w:rPr>
        <w:t>03</w:t>
      </w:r>
      <w:r>
        <w:rPr>
          <w:rFonts w:hint="eastAsia" w:ascii="宋体" w:hAnsi="宋体" w:cs="宋体"/>
          <w:sz w:val="24"/>
          <w:szCs w:val="24"/>
        </w:rPr>
        <w:t>月</w:t>
      </w:r>
      <w:r>
        <w:rPr>
          <w:rFonts w:hint="eastAsia" w:ascii="宋体" w:hAnsi="宋体" w:cs="宋体"/>
          <w:sz w:val="24"/>
          <w:szCs w:val="24"/>
          <w:lang w:val="en-US" w:eastAsia="zh-CN"/>
        </w:rPr>
        <w:t>19</w:t>
      </w:r>
      <w:r>
        <w:rPr>
          <w:rFonts w:hint="eastAsia" w:ascii="宋体" w:hAnsi="宋体" w:cs="宋体"/>
          <w:sz w:val="24"/>
          <w:szCs w:val="24"/>
        </w:rPr>
        <w:t>日</w:t>
      </w:r>
    </w:p>
    <w:p>
      <w:pPr>
        <w:pStyle w:val="3"/>
        <w:snapToGrid/>
        <w:spacing w:line="360" w:lineRule="auto"/>
        <w:rPr>
          <w:rFonts w:ascii="宋体" w:eastAsia="宋体" w:cs="Times New Roman"/>
          <w:b w:val="0"/>
          <w:bCs w:val="0"/>
          <w:kern w:val="0"/>
          <w:sz w:val="24"/>
          <w:szCs w:val="24"/>
        </w:rPr>
      </w:pPr>
      <w:bookmarkStart w:id="32" w:name="_Toc11047"/>
      <w:bookmarkStart w:id="33" w:name="_Toc256000016"/>
      <w:r>
        <w:rPr>
          <w:rFonts w:hint="eastAsia" w:ascii="宋体" w:hAnsi="宋体" w:eastAsia="宋体" w:cs="宋体"/>
          <w:kern w:val="0"/>
          <w:sz w:val="24"/>
          <w:szCs w:val="24"/>
        </w:rPr>
        <w:t>十三、估价作业期</w:t>
      </w:r>
      <w:bookmarkEnd w:id="32"/>
      <w:bookmarkEnd w:id="33"/>
    </w:p>
    <w:p>
      <w:pPr>
        <w:spacing w:line="360" w:lineRule="auto"/>
        <w:ind w:firstLine="480" w:firstLineChars="200"/>
        <w:rPr>
          <w:rFonts w:hint="eastAsia" w:ascii="宋体" w:eastAsia="宋体"/>
          <w:sz w:val="24"/>
          <w:szCs w:val="24"/>
          <w:lang w:eastAsia="zh-CN"/>
        </w:rPr>
      </w:pPr>
      <w:r>
        <w:rPr>
          <w:rFonts w:hint="eastAsia" w:ascii="宋体" w:hAnsi="宋体" w:cs="宋体"/>
          <w:sz w:val="24"/>
          <w:szCs w:val="24"/>
          <w:lang w:eastAsia="zh-CN"/>
        </w:rPr>
        <w:t>2019年0</w:t>
      </w:r>
      <w:r>
        <w:rPr>
          <w:rFonts w:hint="eastAsia" w:ascii="宋体" w:hAnsi="宋体" w:cs="宋体"/>
          <w:sz w:val="24"/>
          <w:szCs w:val="24"/>
          <w:lang w:val="en-US" w:eastAsia="zh-CN"/>
        </w:rPr>
        <w:t>2</w:t>
      </w:r>
      <w:r>
        <w:rPr>
          <w:rFonts w:hint="eastAsia" w:ascii="宋体" w:hAnsi="宋体" w:cs="宋体"/>
          <w:sz w:val="24"/>
          <w:szCs w:val="24"/>
          <w:lang w:eastAsia="zh-CN"/>
        </w:rPr>
        <w:t>月</w:t>
      </w:r>
      <w:r>
        <w:rPr>
          <w:rFonts w:hint="eastAsia" w:ascii="宋体" w:hAnsi="宋体" w:cs="宋体"/>
          <w:sz w:val="24"/>
          <w:szCs w:val="24"/>
          <w:lang w:val="en-US" w:eastAsia="zh-CN"/>
        </w:rPr>
        <w:t>25</w:t>
      </w:r>
      <w:r>
        <w:rPr>
          <w:rFonts w:hint="eastAsia" w:ascii="宋体" w:hAnsi="宋体" w:cs="宋体"/>
          <w:sz w:val="24"/>
          <w:szCs w:val="24"/>
          <w:lang w:eastAsia="zh-CN"/>
        </w:rPr>
        <w:t>日</w:t>
      </w:r>
      <w:r>
        <w:rPr>
          <w:rFonts w:ascii="宋体" w:cs="宋体"/>
          <w:sz w:val="24"/>
          <w:szCs w:val="24"/>
        </w:rPr>
        <w:t>-</w:t>
      </w:r>
      <w:r>
        <w:rPr>
          <w:rFonts w:hint="eastAsia" w:ascii="宋体" w:hAnsi="宋体" w:cs="宋体"/>
          <w:sz w:val="24"/>
          <w:szCs w:val="24"/>
          <w:lang w:eastAsia="zh-CN"/>
        </w:rPr>
        <w:t>2019年03月2</w:t>
      </w:r>
      <w:r>
        <w:rPr>
          <w:rFonts w:hint="eastAsia" w:ascii="宋体" w:hAnsi="宋体" w:cs="宋体"/>
          <w:sz w:val="24"/>
          <w:szCs w:val="24"/>
          <w:lang w:val="en-US" w:eastAsia="zh-CN"/>
        </w:rPr>
        <w:t>2</w:t>
      </w:r>
      <w:r>
        <w:rPr>
          <w:rFonts w:hint="eastAsia" w:ascii="宋体" w:hAnsi="宋体" w:cs="宋体"/>
          <w:sz w:val="24"/>
          <w:szCs w:val="24"/>
          <w:lang w:eastAsia="zh-CN"/>
        </w:rPr>
        <w:t>日</w:t>
      </w:r>
    </w:p>
    <w:p>
      <w:pPr>
        <w:rPr>
          <w:rFonts w:ascii="宋体"/>
          <w:kern w:val="0"/>
          <w:sz w:val="24"/>
          <w:szCs w:val="24"/>
        </w:rPr>
      </w:pPr>
    </w:p>
    <w:p>
      <w:pPr>
        <w:spacing w:line="480" w:lineRule="auto"/>
        <w:jc w:val="center"/>
        <w:rPr>
          <w:rFonts w:ascii="黑体" w:hAnsi="宋体" w:eastAsia="黑体"/>
          <w:b/>
          <w:bCs/>
          <w:sz w:val="32"/>
          <w:szCs w:val="32"/>
        </w:rPr>
      </w:pPr>
      <w:r>
        <w:rPr>
          <w:rFonts w:ascii="黑体" w:hAnsi="宋体" w:eastAsia="黑体"/>
          <w:b/>
          <w:bCs/>
          <w:sz w:val="32"/>
          <w:szCs w:val="32"/>
        </w:rPr>
        <w:br w:type="page"/>
      </w:r>
    </w:p>
    <w:p>
      <w:pPr>
        <w:spacing w:line="480" w:lineRule="auto"/>
        <w:jc w:val="center"/>
        <w:rPr>
          <w:rFonts w:ascii="黑体" w:hAnsi="黑体" w:eastAsia="黑体"/>
          <w:b/>
          <w:bCs/>
          <w:sz w:val="32"/>
          <w:szCs w:val="32"/>
        </w:rPr>
      </w:pPr>
      <w:r>
        <w:rPr>
          <w:rFonts w:hint="eastAsia" w:ascii="黑体" w:hAnsi="黑体" w:eastAsia="黑体" w:cs="黑体"/>
          <w:b/>
          <w:bCs/>
          <w:sz w:val="32"/>
          <w:szCs w:val="32"/>
        </w:rPr>
        <w:t>房地产估价技术报告</w:t>
      </w:r>
    </w:p>
    <w:p>
      <w:pPr>
        <w:spacing w:line="480" w:lineRule="auto"/>
        <w:jc w:val="center"/>
        <w:rPr>
          <w:rFonts w:ascii="黑体" w:hAnsi="黑体" w:eastAsia="黑体"/>
          <w:b/>
          <w:bCs/>
          <w:sz w:val="32"/>
          <w:szCs w:val="32"/>
        </w:rPr>
      </w:pPr>
    </w:p>
    <w:p>
      <w:pPr>
        <w:numPr>
          <w:ilvl w:val="0"/>
          <w:numId w:val="6"/>
        </w:numPr>
        <w:spacing w:line="360" w:lineRule="auto"/>
        <w:rPr>
          <w:b/>
          <w:bCs/>
          <w:sz w:val="24"/>
          <w:szCs w:val="24"/>
        </w:rPr>
      </w:pPr>
      <w:r>
        <w:rPr>
          <w:rFonts w:hint="eastAsia" w:cs="宋体"/>
          <w:b/>
          <w:bCs/>
          <w:sz w:val="24"/>
          <w:szCs w:val="24"/>
        </w:rPr>
        <w:t>估价对象描述及分析</w:t>
      </w:r>
    </w:p>
    <w:p>
      <w:pPr>
        <w:widowControl/>
        <w:spacing w:line="360" w:lineRule="auto"/>
        <w:rPr>
          <w:rFonts w:ascii="宋体"/>
          <w:spacing w:val="10"/>
          <w:sz w:val="24"/>
          <w:szCs w:val="24"/>
        </w:rPr>
      </w:pPr>
      <w:r>
        <w:rPr>
          <w:rFonts w:hint="eastAsia" w:ascii="宋体" w:hAnsi="宋体" w:cs="宋体"/>
          <w:spacing w:val="10"/>
          <w:sz w:val="24"/>
          <w:szCs w:val="24"/>
        </w:rPr>
        <w:t>（一）估价对象区位状况描述与分析</w:t>
      </w:r>
    </w:p>
    <w:p>
      <w:pPr>
        <w:tabs>
          <w:tab w:val="left" w:pos="0"/>
        </w:tabs>
        <w:spacing w:line="360" w:lineRule="auto"/>
        <w:ind w:left="107" w:leftChars="51" w:firstLine="522" w:firstLineChars="201"/>
        <w:rPr>
          <w:rFonts w:ascii="宋体"/>
          <w:spacing w:val="10"/>
          <w:sz w:val="24"/>
          <w:szCs w:val="24"/>
        </w:rPr>
      </w:pPr>
      <w:r>
        <w:rPr>
          <w:rFonts w:ascii="宋体" w:hAnsi="宋体" w:cs="宋体"/>
          <w:spacing w:val="10"/>
          <w:sz w:val="24"/>
          <w:szCs w:val="24"/>
        </w:rPr>
        <w:t>1.</w:t>
      </w:r>
      <w:r>
        <w:rPr>
          <w:rFonts w:hint="eastAsia" w:ascii="宋体" w:hAnsi="宋体" w:cs="宋体"/>
          <w:spacing w:val="10"/>
          <w:sz w:val="24"/>
          <w:szCs w:val="24"/>
        </w:rPr>
        <w:t>位置</w:t>
      </w:r>
    </w:p>
    <w:p>
      <w:pPr>
        <w:tabs>
          <w:tab w:val="left" w:pos="0"/>
        </w:tabs>
        <w:spacing w:line="360" w:lineRule="auto"/>
        <w:ind w:left="107" w:leftChars="51" w:firstLine="522" w:firstLineChars="201"/>
        <w:rPr>
          <w:rFonts w:hint="eastAsia" w:ascii="宋体" w:hAnsi="宋体" w:cs="宋体"/>
          <w:spacing w:val="10"/>
          <w:sz w:val="24"/>
          <w:szCs w:val="24"/>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）坐落：估价对象位于湖南怀化工业园区和安家园南区01幢101、02幢104、105号商业用房，01幢305、02幢305、306号住宅用房</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2</w:t>
      </w:r>
      <w:r>
        <w:rPr>
          <w:rFonts w:hint="eastAsia" w:ascii="宋体" w:hAnsi="宋体" w:cs="宋体"/>
          <w:spacing w:val="10"/>
          <w:sz w:val="24"/>
          <w:szCs w:val="24"/>
        </w:rPr>
        <w:t>）方位：位于</w:t>
      </w:r>
      <w:r>
        <w:rPr>
          <w:rFonts w:hint="eastAsia" w:ascii="宋体" w:hAnsi="宋体" w:cs="宋体"/>
          <w:spacing w:val="10"/>
          <w:sz w:val="24"/>
          <w:szCs w:val="24"/>
          <w:lang w:eastAsia="zh-CN"/>
        </w:rPr>
        <w:t>华盛宾馆</w:t>
      </w:r>
      <w:r>
        <w:rPr>
          <w:rFonts w:hint="eastAsia" w:ascii="宋体" w:hAnsi="宋体" w:cs="宋体"/>
          <w:spacing w:val="10"/>
          <w:sz w:val="24"/>
          <w:szCs w:val="24"/>
        </w:rPr>
        <w:t>以东，</w:t>
      </w:r>
      <w:r>
        <w:rPr>
          <w:rFonts w:hint="eastAsia" w:ascii="宋体" w:hAnsi="宋体" w:cs="宋体"/>
          <w:spacing w:val="10"/>
          <w:sz w:val="24"/>
          <w:szCs w:val="24"/>
          <w:lang w:eastAsia="zh-CN"/>
        </w:rPr>
        <w:t>商住楼</w:t>
      </w:r>
      <w:r>
        <w:rPr>
          <w:rFonts w:hint="eastAsia" w:ascii="宋体" w:hAnsi="宋体" w:cs="宋体"/>
          <w:spacing w:val="10"/>
          <w:sz w:val="24"/>
          <w:szCs w:val="24"/>
        </w:rPr>
        <w:t>以西，</w:t>
      </w:r>
      <w:r>
        <w:rPr>
          <w:rFonts w:hint="eastAsia" w:ascii="宋体" w:hAnsi="宋体" w:cs="宋体"/>
          <w:spacing w:val="10"/>
          <w:sz w:val="24"/>
          <w:szCs w:val="24"/>
          <w:lang w:eastAsia="zh-CN"/>
        </w:rPr>
        <w:t>商住楼</w:t>
      </w:r>
      <w:r>
        <w:rPr>
          <w:rFonts w:hint="eastAsia" w:ascii="宋体" w:hAnsi="宋体" w:cs="宋体"/>
          <w:spacing w:val="10"/>
          <w:sz w:val="24"/>
          <w:szCs w:val="24"/>
        </w:rPr>
        <w:t>以北，</w:t>
      </w:r>
      <w:r>
        <w:rPr>
          <w:rFonts w:hint="eastAsia" w:ascii="宋体" w:hAnsi="宋体" w:cs="宋体"/>
          <w:spacing w:val="10"/>
          <w:sz w:val="24"/>
          <w:szCs w:val="24"/>
          <w:lang w:eastAsia="zh-CN"/>
        </w:rPr>
        <w:t>财富路</w:t>
      </w:r>
      <w:r>
        <w:rPr>
          <w:rFonts w:hint="eastAsia" w:ascii="宋体" w:hAnsi="宋体" w:cs="宋体"/>
          <w:spacing w:val="10"/>
          <w:sz w:val="24"/>
          <w:szCs w:val="24"/>
        </w:rPr>
        <w:t>以南。</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3</w:t>
      </w:r>
      <w:r>
        <w:rPr>
          <w:rFonts w:hint="eastAsia" w:ascii="宋体" w:hAnsi="宋体" w:cs="宋体"/>
          <w:spacing w:val="10"/>
          <w:sz w:val="24"/>
          <w:szCs w:val="24"/>
        </w:rPr>
        <w:t>）与重要场所（设施）的距离：据</w:t>
      </w:r>
      <w:r>
        <w:rPr>
          <w:rFonts w:hint="eastAsia" w:ascii="宋体" w:hAnsi="宋体" w:cs="宋体"/>
          <w:spacing w:val="10"/>
          <w:sz w:val="24"/>
          <w:szCs w:val="24"/>
          <w:lang w:eastAsia="zh-CN"/>
        </w:rPr>
        <w:t>华丰广场</w:t>
      </w:r>
      <w:r>
        <w:rPr>
          <w:rFonts w:hint="eastAsia" w:ascii="宋体" w:hAnsi="宋体" w:cs="宋体"/>
          <w:spacing w:val="10"/>
          <w:sz w:val="24"/>
          <w:szCs w:val="24"/>
        </w:rPr>
        <w:t>约</w:t>
      </w:r>
      <w:r>
        <w:rPr>
          <w:rFonts w:hint="eastAsia" w:ascii="宋体" w:hAnsi="宋体" w:cs="宋体"/>
          <w:spacing w:val="10"/>
          <w:sz w:val="24"/>
          <w:szCs w:val="24"/>
          <w:lang w:val="en-US" w:eastAsia="zh-CN"/>
        </w:rPr>
        <w:t>400</w:t>
      </w:r>
      <w:r>
        <w:rPr>
          <w:rFonts w:hint="eastAsia" w:ascii="宋体" w:hAnsi="宋体" w:cs="宋体"/>
          <w:spacing w:val="10"/>
          <w:sz w:val="24"/>
          <w:szCs w:val="24"/>
        </w:rPr>
        <w:t>米</w:t>
      </w:r>
    </w:p>
    <w:p>
      <w:pPr>
        <w:tabs>
          <w:tab w:val="left" w:pos="0"/>
        </w:tabs>
        <w:spacing w:line="360" w:lineRule="auto"/>
        <w:ind w:left="107" w:leftChars="51" w:firstLine="522" w:firstLineChars="201"/>
        <w:rPr>
          <w:rFonts w:hint="eastAsia" w:ascii="宋体" w:eastAsia="宋体"/>
          <w:spacing w:val="10"/>
          <w:sz w:val="24"/>
          <w:szCs w:val="24"/>
          <w:lang w:eastAsia="zh-CN"/>
        </w:rPr>
      </w:pPr>
      <w:r>
        <w:rPr>
          <w:rFonts w:hint="eastAsia" w:ascii="宋体" w:hAnsi="宋体" w:cs="宋体"/>
          <w:spacing w:val="10"/>
          <w:sz w:val="24"/>
          <w:szCs w:val="24"/>
        </w:rPr>
        <w:t>（</w:t>
      </w:r>
      <w:r>
        <w:rPr>
          <w:rFonts w:ascii="宋体" w:hAnsi="宋体" w:cs="宋体"/>
          <w:spacing w:val="10"/>
          <w:sz w:val="24"/>
          <w:szCs w:val="24"/>
        </w:rPr>
        <w:t>4</w:t>
      </w:r>
      <w:r>
        <w:rPr>
          <w:rFonts w:hint="eastAsia" w:ascii="宋体" w:hAnsi="宋体" w:cs="宋体"/>
          <w:spacing w:val="10"/>
          <w:sz w:val="24"/>
          <w:szCs w:val="24"/>
        </w:rPr>
        <w:t>）四至：东：</w:t>
      </w:r>
      <w:r>
        <w:rPr>
          <w:rFonts w:hint="eastAsia" w:ascii="宋体" w:hAnsi="宋体" w:cs="宋体"/>
          <w:spacing w:val="10"/>
          <w:sz w:val="24"/>
          <w:szCs w:val="24"/>
          <w:lang w:eastAsia="zh-CN"/>
        </w:rPr>
        <w:t>商住楼</w:t>
      </w:r>
      <w:r>
        <w:rPr>
          <w:rFonts w:ascii="宋体" w:hAnsi="宋体" w:cs="宋体"/>
          <w:spacing w:val="10"/>
          <w:sz w:val="24"/>
          <w:szCs w:val="24"/>
        </w:rPr>
        <w:t xml:space="preserve">         </w:t>
      </w:r>
      <w:r>
        <w:rPr>
          <w:rFonts w:hint="eastAsia" w:ascii="宋体" w:hAnsi="宋体" w:cs="宋体"/>
          <w:spacing w:val="10"/>
          <w:sz w:val="24"/>
          <w:szCs w:val="24"/>
          <w:lang w:val="en-US" w:eastAsia="zh-CN"/>
        </w:rPr>
        <w:t xml:space="preserve">    </w:t>
      </w:r>
      <w:r>
        <w:rPr>
          <w:rFonts w:hint="eastAsia" w:ascii="宋体" w:hAnsi="宋体" w:cs="宋体"/>
          <w:spacing w:val="10"/>
          <w:sz w:val="24"/>
          <w:szCs w:val="24"/>
        </w:rPr>
        <w:t>南：</w:t>
      </w:r>
      <w:r>
        <w:rPr>
          <w:rFonts w:hint="eastAsia" w:ascii="宋体" w:hAnsi="宋体" w:cs="宋体"/>
          <w:spacing w:val="10"/>
          <w:sz w:val="24"/>
          <w:szCs w:val="24"/>
          <w:lang w:eastAsia="zh-CN"/>
        </w:rPr>
        <w:t>商住楼</w:t>
      </w:r>
    </w:p>
    <w:p>
      <w:pPr>
        <w:tabs>
          <w:tab w:val="left" w:pos="0"/>
        </w:tabs>
        <w:spacing w:line="360" w:lineRule="auto"/>
        <w:ind w:firstLine="2080" w:firstLineChars="800"/>
        <w:rPr>
          <w:rFonts w:hint="eastAsia" w:ascii="宋体" w:eastAsia="宋体"/>
          <w:spacing w:val="10"/>
          <w:sz w:val="24"/>
          <w:szCs w:val="24"/>
          <w:lang w:eastAsia="zh-CN"/>
        </w:rPr>
      </w:pPr>
      <w:r>
        <w:rPr>
          <w:rFonts w:hint="eastAsia" w:ascii="宋体" w:hAnsi="宋体" w:cs="宋体"/>
          <w:spacing w:val="10"/>
          <w:sz w:val="24"/>
          <w:szCs w:val="24"/>
        </w:rPr>
        <w:t>西：</w:t>
      </w:r>
      <w:r>
        <w:rPr>
          <w:rFonts w:hint="eastAsia" w:ascii="宋体" w:hAnsi="宋体" w:cs="宋体"/>
          <w:spacing w:val="10"/>
          <w:sz w:val="24"/>
          <w:szCs w:val="24"/>
          <w:lang w:eastAsia="zh-CN"/>
        </w:rPr>
        <w:t>华盛宾馆</w:t>
      </w:r>
      <w:r>
        <w:rPr>
          <w:rFonts w:ascii="宋体" w:hAnsi="宋体" w:cs="宋体"/>
          <w:spacing w:val="10"/>
          <w:sz w:val="24"/>
          <w:szCs w:val="24"/>
        </w:rPr>
        <w:t xml:space="preserve">           </w:t>
      </w:r>
      <w:r>
        <w:rPr>
          <w:rFonts w:hint="eastAsia" w:ascii="宋体" w:hAnsi="宋体" w:cs="宋体"/>
          <w:spacing w:val="10"/>
          <w:sz w:val="24"/>
          <w:szCs w:val="24"/>
        </w:rPr>
        <w:t>北：</w:t>
      </w:r>
      <w:r>
        <w:rPr>
          <w:rFonts w:hint="eastAsia" w:ascii="宋体" w:hAnsi="宋体" w:cs="宋体"/>
          <w:spacing w:val="10"/>
          <w:sz w:val="24"/>
          <w:szCs w:val="24"/>
          <w:lang w:eastAsia="zh-CN"/>
        </w:rPr>
        <w:t>财富路</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5</w:t>
      </w:r>
      <w:r>
        <w:rPr>
          <w:rFonts w:hint="eastAsia" w:ascii="宋体" w:hAnsi="宋体" w:cs="宋体"/>
          <w:spacing w:val="10"/>
          <w:sz w:val="24"/>
          <w:szCs w:val="24"/>
        </w:rPr>
        <w:t>）朝向：</w:t>
      </w:r>
      <w:r>
        <w:rPr>
          <w:rFonts w:hint="eastAsia" w:ascii="宋体" w:hAnsi="宋体" w:cs="宋体"/>
          <w:spacing w:val="10"/>
          <w:sz w:val="24"/>
          <w:szCs w:val="24"/>
          <w:lang w:eastAsia="zh-CN"/>
        </w:rPr>
        <w:t>南北</w:t>
      </w:r>
      <w:r>
        <w:rPr>
          <w:rFonts w:hint="eastAsia" w:ascii="宋体" w:hAnsi="宋体" w:cs="宋体"/>
          <w:spacing w:val="10"/>
          <w:sz w:val="24"/>
          <w:szCs w:val="24"/>
        </w:rPr>
        <w:t>朝向</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6</w:t>
      </w:r>
      <w:r>
        <w:rPr>
          <w:rFonts w:hint="eastAsia" w:ascii="宋体" w:hAnsi="宋体" w:cs="宋体"/>
          <w:spacing w:val="10"/>
          <w:sz w:val="24"/>
          <w:szCs w:val="24"/>
        </w:rPr>
        <w:t>）估价对象为</w:t>
      </w:r>
      <w:r>
        <w:rPr>
          <w:rFonts w:hint="eastAsia" w:ascii="宋体" w:hAnsi="宋体" w:cs="宋体"/>
          <w:spacing w:val="10"/>
          <w:sz w:val="24"/>
          <w:szCs w:val="24"/>
          <w:lang w:eastAsia="zh-CN"/>
        </w:rPr>
        <w:t>混合结构的商住楼</w:t>
      </w:r>
      <w:r>
        <w:rPr>
          <w:rFonts w:hint="eastAsia" w:ascii="宋体" w:hAnsi="宋体" w:cs="宋体"/>
          <w:spacing w:val="10"/>
          <w:sz w:val="24"/>
          <w:szCs w:val="24"/>
        </w:rPr>
        <w:t>，房屋总层数为</w:t>
      </w:r>
      <w:r>
        <w:rPr>
          <w:rFonts w:ascii="宋体" w:hAnsi="宋体" w:cs="宋体"/>
          <w:spacing w:val="10"/>
          <w:sz w:val="24"/>
          <w:szCs w:val="24"/>
        </w:rPr>
        <w:t>6</w:t>
      </w:r>
      <w:r>
        <w:rPr>
          <w:rFonts w:hint="eastAsia" w:ascii="宋体" w:hAnsi="宋体" w:cs="宋体"/>
          <w:spacing w:val="10"/>
          <w:sz w:val="24"/>
          <w:szCs w:val="24"/>
        </w:rPr>
        <w:t>层，</w:t>
      </w:r>
      <w:r>
        <w:rPr>
          <w:rFonts w:hint="eastAsia" w:ascii="宋体" w:hAnsi="宋体" w:cs="宋体"/>
          <w:spacing w:val="10"/>
          <w:sz w:val="24"/>
          <w:szCs w:val="24"/>
          <w:lang w:val="en-US" w:eastAsia="zh-CN"/>
        </w:rPr>
        <w:t>01幢101、02幢104、105号商业用房为一层，01幢305、02幢305、306号住宅用房为三层</w:t>
      </w:r>
      <w:r>
        <w:rPr>
          <w:rFonts w:hint="eastAsia" w:ascii="宋体" w:hAnsi="宋体" w:cs="宋体"/>
          <w:spacing w:val="10"/>
          <w:sz w:val="24"/>
          <w:szCs w:val="24"/>
        </w:rPr>
        <w:t>。</w:t>
      </w:r>
    </w:p>
    <w:p>
      <w:pPr>
        <w:tabs>
          <w:tab w:val="left" w:pos="0"/>
        </w:tabs>
        <w:spacing w:line="360" w:lineRule="auto"/>
        <w:ind w:left="107" w:leftChars="51" w:firstLine="522" w:firstLineChars="201"/>
        <w:rPr>
          <w:rFonts w:ascii="宋体"/>
          <w:spacing w:val="10"/>
          <w:sz w:val="24"/>
          <w:szCs w:val="24"/>
        </w:rPr>
      </w:pPr>
      <w:r>
        <w:rPr>
          <w:rFonts w:ascii="宋体" w:hAnsi="宋体" w:cs="宋体"/>
          <w:spacing w:val="10"/>
          <w:sz w:val="24"/>
          <w:szCs w:val="24"/>
        </w:rPr>
        <w:t>2</w:t>
      </w:r>
      <w:r>
        <w:rPr>
          <w:rFonts w:ascii="宋体" w:cs="宋体"/>
          <w:spacing w:val="10"/>
          <w:sz w:val="24"/>
          <w:szCs w:val="24"/>
        </w:rPr>
        <w:t>.</w:t>
      </w:r>
      <w:r>
        <w:rPr>
          <w:rFonts w:hint="eastAsia" w:ascii="宋体" w:hAnsi="宋体" w:cs="宋体"/>
          <w:spacing w:val="10"/>
          <w:sz w:val="24"/>
          <w:szCs w:val="24"/>
        </w:rPr>
        <w:t>交通状况</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）道路状况：</w:t>
      </w:r>
      <w:r>
        <w:rPr>
          <w:rFonts w:hint="eastAsia" w:ascii="宋体" w:hAnsi="宋体" w:cs="宋体"/>
          <w:color w:val="000000"/>
          <w:sz w:val="24"/>
          <w:szCs w:val="24"/>
        </w:rPr>
        <w:t>东面临商住楼，南面临商住楼，西面临华盛宾馆，北面临财富路</w:t>
      </w:r>
      <w:r>
        <w:rPr>
          <w:rFonts w:hint="eastAsia" w:ascii="宋体" w:hAnsi="宋体" w:cs="宋体"/>
          <w:spacing w:val="10"/>
          <w:sz w:val="24"/>
          <w:szCs w:val="24"/>
        </w:rPr>
        <w:t>。</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2</w:t>
      </w:r>
      <w:r>
        <w:rPr>
          <w:rFonts w:hint="eastAsia" w:ascii="宋体" w:hAnsi="宋体" w:cs="宋体"/>
          <w:spacing w:val="10"/>
          <w:sz w:val="24"/>
          <w:szCs w:val="24"/>
        </w:rPr>
        <w:t>）出入可利用交通工具：邻近公交站点，有</w:t>
      </w:r>
      <w:r>
        <w:rPr>
          <w:rFonts w:hint="eastAsia" w:ascii="宋体" w:hAnsi="宋体" w:cs="宋体"/>
          <w:sz w:val="24"/>
          <w:szCs w:val="24"/>
        </w:rPr>
        <w:t>3路、</w:t>
      </w:r>
      <w:r>
        <w:rPr>
          <w:rFonts w:hint="eastAsia" w:ascii="宋体" w:hAnsi="宋体" w:cs="宋体"/>
          <w:sz w:val="24"/>
          <w:szCs w:val="24"/>
          <w:lang w:val="en-US" w:eastAsia="zh-CN"/>
        </w:rPr>
        <w:t>k3</w:t>
      </w:r>
      <w:r>
        <w:rPr>
          <w:rFonts w:hint="eastAsia" w:ascii="宋体" w:hAnsi="宋体" w:cs="宋体"/>
          <w:sz w:val="24"/>
          <w:szCs w:val="24"/>
        </w:rPr>
        <w:t>路</w:t>
      </w:r>
      <w:r>
        <w:rPr>
          <w:rFonts w:hint="eastAsia" w:ascii="宋体" w:hAnsi="宋体" w:cs="宋体"/>
          <w:spacing w:val="10"/>
          <w:sz w:val="24"/>
          <w:szCs w:val="24"/>
        </w:rPr>
        <w:t>等公交经过，交通较便利。</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3</w:t>
      </w:r>
      <w:r>
        <w:rPr>
          <w:rFonts w:hint="eastAsia" w:ascii="宋体" w:hAnsi="宋体" w:cs="宋体"/>
          <w:spacing w:val="10"/>
          <w:sz w:val="24"/>
          <w:szCs w:val="24"/>
        </w:rPr>
        <w:t>）交通管制情况：有。</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4</w:t>
      </w:r>
      <w:r>
        <w:rPr>
          <w:rFonts w:hint="eastAsia" w:ascii="宋体" w:hAnsi="宋体" w:cs="宋体"/>
          <w:spacing w:val="10"/>
          <w:sz w:val="24"/>
          <w:szCs w:val="24"/>
        </w:rPr>
        <w:t>）停车方便程度：</w:t>
      </w:r>
      <w:r>
        <w:rPr>
          <w:rFonts w:hint="eastAsia" w:ascii="宋体" w:hAnsi="宋体" w:cs="宋体"/>
          <w:spacing w:val="10"/>
          <w:sz w:val="24"/>
          <w:szCs w:val="24"/>
          <w:lang w:eastAsia="zh-CN"/>
        </w:rPr>
        <w:t>附近有</w:t>
      </w:r>
      <w:r>
        <w:rPr>
          <w:rFonts w:hint="eastAsia" w:ascii="宋体" w:hAnsi="宋体" w:cs="宋体"/>
          <w:spacing w:val="10"/>
          <w:sz w:val="24"/>
          <w:szCs w:val="24"/>
        </w:rPr>
        <w:t>停车位，可满足停车要求。</w:t>
      </w:r>
    </w:p>
    <w:p>
      <w:pPr>
        <w:widowControl/>
        <w:spacing w:line="360" w:lineRule="auto"/>
        <w:ind w:firstLine="650" w:firstLineChars="250"/>
        <w:rPr>
          <w:rFonts w:ascii="宋体"/>
          <w:spacing w:val="10"/>
          <w:sz w:val="24"/>
          <w:szCs w:val="24"/>
        </w:rPr>
      </w:pPr>
      <w:r>
        <w:rPr>
          <w:rFonts w:ascii="宋体" w:hAnsi="宋体" w:cs="宋体"/>
          <w:spacing w:val="10"/>
          <w:sz w:val="24"/>
          <w:szCs w:val="24"/>
        </w:rPr>
        <w:t>3</w:t>
      </w:r>
      <w:r>
        <w:rPr>
          <w:rFonts w:ascii="宋体" w:cs="宋体"/>
          <w:spacing w:val="10"/>
          <w:sz w:val="24"/>
          <w:szCs w:val="24"/>
        </w:rPr>
        <w:t>.</w:t>
      </w:r>
      <w:r>
        <w:rPr>
          <w:rFonts w:ascii="宋体" w:hAnsi="宋体" w:cs="宋体"/>
          <w:spacing w:val="10"/>
          <w:sz w:val="24"/>
          <w:szCs w:val="24"/>
        </w:rPr>
        <w:t xml:space="preserve"> </w:t>
      </w:r>
      <w:r>
        <w:rPr>
          <w:rFonts w:hint="eastAsia" w:ascii="宋体" w:hAnsi="宋体" w:cs="宋体"/>
          <w:spacing w:val="10"/>
          <w:sz w:val="24"/>
          <w:szCs w:val="24"/>
        </w:rPr>
        <w:t>周围环境</w:t>
      </w:r>
    </w:p>
    <w:p>
      <w:pPr>
        <w:widowControl/>
        <w:spacing w:line="360" w:lineRule="auto"/>
        <w:ind w:firstLine="650" w:firstLineChars="25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）自然环境：无明显大气污染、水文污染及噪声污染；周边没有影响视觉环境的杂乱因素；卫生环境较好.</w:t>
      </w:r>
    </w:p>
    <w:p>
      <w:pPr>
        <w:tabs>
          <w:tab w:val="left" w:pos="0"/>
        </w:tabs>
        <w:spacing w:line="360" w:lineRule="auto"/>
        <w:ind w:left="107" w:leftChars="51" w:firstLine="522" w:firstLineChars="201"/>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2</w:t>
      </w:r>
      <w:r>
        <w:rPr>
          <w:rFonts w:hint="eastAsia" w:ascii="宋体" w:hAnsi="宋体" w:cs="宋体"/>
          <w:spacing w:val="10"/>
          <w:sz w:val="24"/>
          <w:szCs w:val="24"/>
        </w:rPr>
        <w:t>）人文环境：估价对象位于怀化市</w:t>
      </w:r>
      <w:r>
        <w:rPr>
          <w:rFonts w:hint="eastAsia" w:ascii="宋体" w:hAnsi="宋体" w:cs="宋体"/>
          <w:spacing w:val="10"/>
          <w:sz w:val="24"/>
          <w:szCs w:val="24"/>
          <w:lang w:eastAsia="zh-CN"/>
        </w:rPr>
        <w:t>湖南怀化工业园区和安家园南区</w:t>
      </w:r>
      <w:r>
        <w:rPr>
          <w:rFonts w:hint="eastAsia" w:ascii="宋体" w:hAnsi="宋体" w:cs="宋体"/>
          <w:spacing w:val="10"/>
          <w:sz w:val="24"/>
          <w:szCs w:val="24"/>
        </w:rPr>
        <w:t>，人文环境一般。</w:t>
      </w:r>
    </w:p>
    <w:p>
      <w:pPr>
        <w:widowControl/>
        <w:spacing w:line="360" w:lineRule="auto"/>
        <w:ind w:firstLine="650" w:firstLineChars="25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3</w:t>
      </w:r>
      <w:r>
        <w:rPr>
          <w:rFonts w:hint="eastAsia" w:ascii="宋体" w:hAnsi="宋体" w:cs="宋体"/>
          <w:spacing w:val="10"/>
          <w:sz w:val="24"/>
          <w:szCs w:val="24"/>
        </w:rPr>
        <w:t>）景观：无特殊景观。</w:t>
      </w:r>
    </w:p>
    <w:p>
      <w:pPr>
        <w:tabs>
          <w:tab w:val="left" w:pos="0"/>
        </w:tabs>
        <w:spacing w:line="360" w:lineRule="auto"/>
        <w:ind w:left="107" w:leftChars="51" w:firstLine="522" w:firstLineChars="201"/>
        <w:rPr>
          <w:rFonts w:ascii="宋体"/>
          <w:spacing w:val="10"/>
          <w:sz w:val="24"/>
          <w:szCs w:val="24"/>
        </w:rPr>
      </w:pPr>
      <w:r>
        <w:rPr>
          <w:rFonts w:ascii="宋体" w:hAnsi="宋体" w:cs="宋体"/>
          <w:spacing w:val="10"/>
          <w:sz w:val="24"/>
          <w:szCs w:val="24"/>
        </w:rPr>
        <w:t>4</w:t>
      </w:r>
      <w:r>
        <w:rPr>
          <w:rFonts w:ascii="宋体" w:cs="宋体"/>
          <w:spacing w:val="10"/>
          <w:sz w:val="24"/>
          <w:szCs w:val="24"/>
        </w:rPr>
        <w:t>.</w:t>
      </w:r>
      <w:r>
        <w:rPr>
          <w:rFonts w:ascii="宋体" w:hAnsi="宋体" w:cs="宋体"/>
          <w:spacing w:val="10"/>
          <w:sz w:val="24"/>
          <w:szCs w:val="24"/>
        </w:rPr>
        <w:t xml:space="preserve"> </w:t>
      </w:r>
      <w:r>
        <w:rPr>
          <w:rFonts w:hint="eastAsia" w:ascii="宋体" w:hAnsi="宋体" w:cs="宋体"/>
          <w:spacing w:val="10"/>
          <w:sz w:val="24"/>
          <w:szCs w:val="24"/>
        </w:rPr>
        <w:t>外部配套设施</w:t>
      </w:r>
    </w:p>
    <w:p>
      <w:pPr>
        <w:tabs>
          <w:tab w:val="left" w:pos="0"/>
        </w:tabs>
        <w:spacing w:line="360" w:lineRule="auto"/>
        <w:ind w:left="107" w:leftChars="51" w:firstLine="522" w:firstLineChars="201"/>
        <w:rPr>
          <w:rFonts w:ascii="宋体"/>
          <w:sz w:val="24"/>
          <w:szCs w:val="24"/>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）基础设施：区域内</w:t>
      </w:r>
      <w:r>
        <w:rPr>
          <w:rFonts w:hint="eastAsia" w:ascii="宋体" w:hAnsi="宋体" w:cs="宋体"/>
          <w:sz w:val="24"/>
          <w:szCs w:val="24"/>
        </w:rPr>
        <w:t>“五通”，即通路、供水、排水、供电、通信</w:t>
      </w:r>
    </w:p>
    <w:p>
      <w:pPr>
        <w:widowControl/>
        <w:spacing w:line="440" w:lineRule="exact"/>
        <w:ind w:firstLine="520" w:firstLineChars="200"/>
        <w:jc w:val="left"/>
        <w:rPr>
          <w:rFonts w:ascii="宋体"/>
          <w:kern w:val="0"/>
          <w:sz w:val="24"/>
          <w:szCs w:val="24"/>
        </w:rPr>
      </w:pPr>
      <w:r>
        <w:rPr>
          <w:rFonts w:hint="eastAsia" w:ascii="宋体" w:hAnsi="宋体" w:cs="宋体"/>
          <w:spacing w:val="10"/>
          <w:sz w:val="24"/>
          <w:szCs w:val="24"/>
        </w:rPr>
        <w:t>（</w:t>
      </w:r>
      <w:r>
        <w:rPr>
          <w:rFonts w:ascii="宋体" w:hAnsi="宋体" w:cs="宋体"/>
          <w:spacing w:val="10"/>
          <w:sz w:val="24"/>
          <w:szCs w:val="24"/>
        </w:rPr>
        <w:t>2</w:t>
      </w:r>
      <w:r>
        <w:rPr>
          <w:rFonts w:hint="eastAsia" w:ascii="宋体" w:hAnsi="宋体" w:cs="宋体"/>
          <w:spacing w:val="10"/>
          <w:sz w:val="24"/>
          <w:szCs w:val="24"/>
        </w:rPr>
        <w:t>）公共服务设施：</w:t>
      </w:r>
      <w:r>
        <w:rPr>
          <w:rFonts w:hint="eastAsia" w:ascii="宋体" w:hAnsi="宋体" w:cs="宋体"/>
          <w:kern w:val="0"/>
          <w:sz w:val="24"/>
          <w:szCs w:val="24"/>
        </w:rPr>
        <w:t>整体商业繁华度</w:t>
      </w:r>
      <w:r>
        <w:rPr>
          <w:rFonts w:hint="eastAsia" w:ascii="宋体" w:hAnsi="宋体" w:cs="宋体"/>
          <w:kern w:val="0"/>
          <w:sz w:val="24"/>
          <w:szCs w:val="24"/>
          <w:lang w:eastAsia="zh-CN"/>
        </w:rPr>
        <w:t>较好</w:t>
      </w:r>
      <w:r>
        <w:rPr>
          <w:rFonts w:hint="eastAsia" w:ascii="宋体" w:hAnsi="宋体" w:cs="宋体"/>
          <w:kern w:val="0"/>
          <w:sz w:val="24"/>
          <w:szCs w:val="24"/>
        </w:rPr>
        <w:t>，生活</w:t>
      </w:r>
      <w:r>
        <w:rPr>
          <w:rFonts w:hint="eastAsia" w:ascii="宋体" w:hAnsi="宋体" w:cs="宋体"/>
          <w:sz w:val="24"/>
          <w:szCs w:val="24"/>
        </w:rPr>
        <w:t>配套设施</w:t>
      </w:r>
      <w:r>
        <w:rPr>
          <w:rFonts w:hint="eastAsia" w:ascii="宋体" w:hAnsi="宋体" w:cs="宋体"/>
          <w:sz w:val="24"/>
          <w:szCs w:val="24"/>
          <w:lang w:eastAsia="zh-CN"/>
        </w:rPr>
        <w:t>较好</w:t>
      </w:r>
      <w:r>
        <w:rPr>
          <w:rFonts w:hint="eastAsia" w:ascii="宋体" w:hAnsi="宋体" w:cs="宋体"/>
          <w:sz w:val="24"/>
          <w:szCs w:val="24"/>
        </w:rPr>
        <w:t>，</w:t>
      </w:r>
      <w:r>
        <w:rPr>
          <w:rFonts w:hint="eastAsia" w:ascii="宋体" w:hAnsi="宋体" w:cs="宋体"/>
          <w:spacing w:val="10"/>
          <w:sz w:val="24"/>
          <w:szCs w:val="24"/>
        </w:rPr>
        <w:t>估价对象周边基础及配套设施较好，水电供应有保障。估价对象周围有</w:t>
      </w:r>
      <w:r>
        <w:rPr>
          <w:rFonts w:hint="eastAsia" w:ascii="宋体" w:hAnsi="宋体" w:cs="宋体"/>
          <w:spacing w:val="10"/>
          <w:sz w:val="24"/>
          <w:szCs w:val="24"/>
          <w:lang w:eastAsia="zh-CN"/>
        </w:rPr>
        <w:t>华盛宾馆、华盛购物中心</w:t>
      </w:r>
      <w:r>
        <w:rPr>
          <w:rFonts w:hint="eastAsia" w:ascii="宋体" w:hAnsi="宋体" w:cs="宋体"/>
          <w:spacing w:val="10"/>
          <w:sz w:val="24"/>
          <w:szCs w:val="24"/>
        </w:rPr>
        <w:t>等场所及配套设施。</w:t>
      </w:r>
    </w:p>
    <w:p>
      <w:pPr>
        <w:widowControl/>
        <w:spacing w:line="360" w:lineRule="auto"/>
        <w:rPr>
          <w:rFonts w:ascii="宋体"/>
          <w:spacing w:val="10"/>
          <w:sz w:val="24"/>
          <w:szCs w:val="24"/>
        </w:rPr>
      </w:pPr>
      <w:r>
        <w:rPr>
          <w:rFonts w:hint="eastAsia" w:ascii="宋体" w:hAnsi="宋体" w:cs="宋体"/>
          <w:spacing w:val="10"/>
          <w:sz w:val="24"/>
          <w:szCs w:val="24"/>
        </w:rPr>
        <w:t>（二）估价对象实物状况描述与分析</w:t>
      </w:r>
    </w:p>
    <w:p>
      <w:pPr>
        <w:widowControl/>
        <w:spacing w:line="360" w:lineRule="auto"/>
        <w:ind w:firstLine="520" w:firstLineChars="200"/>
        <w:rPr>
          <w:rFonts w:ascii="宋体"/>
          <w:spacing w:val="10"/>
          <w:sz w:val="24"/>
          <w:szCs w:val="24"/>
        </w:rPr>
      </w:pPr>
      <w:r>
        <w:rPr>
          <w:rFonts w:ascii="宋体" w:hAnsi="宋体" w:cs="宋体"/>
          <w:spacing w:val="10"/>
          <w:sz w:val="24"/>
          <w:szCs w:val="24"/>
        </w:rPr>
        <w:t>1.</w:t>
      </w:r>
      <w:r>
        <w:rPr>
          <w:rFonts w:hint="eastAsia" w:ascii="宋体" w:hAnsi="宋体" w:cs="宋体"/>
          <w:spacing w:val="10"/>
          <w:sz w:val="24"/>
          <w:szCs w:val="24"/>
          <w:lang w:eastAsia="zh-CN"/>
        </w:rPr>
        <w:t>房屋实物状况</w:t>
      </w:r>
      <w:r>
        <w:rPr>
          <w:rFonts w:hint="eastAsia" w:ascii="宋体" w:hAnsi="宋体" w:cs="宋体"/>
          <w:spacing w:val="10"/>
          <w:sz w:val="24"/>
          <w:szCs w:val="24"/>
        </w:rPr>
        <w:t>：</w:t>
      </w:r>
    </w:p>
    <w:p>
      <w:pPr>
        <w:tabs>
          <w:tab w:val="left" w:pos="0"/>
        </w:tabs>
        <w:spacing w:line="360" w:lineRule="auto"/>
        <w:ind w:left="107" w:leftChars="51" w:firstLine="522" w:firstLineChars="201"/>
        <w:rPr>
          <w:rFonts w:hint="default" w:ascii="宋体" w:eastAsia="宋体"/>
          <w:spacing w:val="10"/>
          <w:sz w:val="24"/>
          <w:szCs w:val="24"/>
          <w:lang w:val="en-US" w:eastAsia="zh-CN"/>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w:t>
      </w:r>
      <w:r>
        <w:rPr>
          <w:rFonts w:hint="eastAsia" w:ascii="宋体" w:hAnsi="宋体" w:cs="宋体"/>
          <w:spacing w:val="10"/>
          <w:sz w:val="24"/>
          <w:szCs w:val="24"/>
          <w:lang w:eastAsia="zh-CN"/>
        </w:rPr>
        <w:t>委托人未提供土地使用证，根据委托人提供的房屋他项权证、房屋产权情况及怀化高新技术产业开发区出具的房屋分户平面图等资料，</w:t>
      </w:r>
      <w:r>
        <w:rPr>
          <w:rFonts w:hint="eastAsia" w:ascii="宋体" w:hAnsi="宋体" w:cs="宋体"/>
          <w:spacing w:val="10"/>
          <w:sz w:val="24"/>
          <w:szCs w:val="24"/>
          <w:lang w:val="en-US" w:eastAsia="zh-CN"/>
        </w:rPr>
        <w:t>01幢101号、02幢104、105号商业用房</w:t>
      </w:r>
      <w:r>
        <w:rPr>
          <w:rFonts w:hint="eastAsia" w:ascii="宋体" w:hAnsi="宋体" w:cs="宋体"/>
          <w:spacing w:val="10"/>
          <w:sz w:val="24"/>
          <w:szCs w:val="24"/>
          <w:lang w:eastAsia="zh-CN"/>
        </w:rPr>
        <w:t>建筑面积皆为</w:t>
      </w:r>
      <w:r>
        <w:rPr>
          <w:rFonts w:hint="eastAsia" w:ascii="宋体" w:hAnsi="宋体" w:cs="宋体"/>
          <w:spacing w:val="10"/>
          <w:sz w:val="24"/>
          <w:szCs w:val="24"/>
          <w:lang w:val="en-US" w:eastAsia="zh-CN"/>
        </w:rPr>
        <w:t>40.09平方米</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01幢305号住宅用房建筑面积为96.42平方米；02幢305号住宅用房建筑面积为96.42平方米；02幢306号住宅用房筑面积为96.53平方米。</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2</w:t>
      </w:r>
      <w:r>
        <w:rPr>
          <w:rFonts w:hint="eastAsia" w:ascii="宋体" w:hAnsi="宋体" w:cs="宋体"/>
          <w:spacing w:val="10"/>
          <w:sz w:val="24"/>
          <w:szCs w:val="24"/>
        </w:rPr>
        <w:t>）形状：为长方形，形状较规整。</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3</w:t>
      </w:r>
      <w:r>
        <w:rPr>
          <w:rFonts w:hint="eastAsia" w:ascii="宋体" w:hAnsi="宋体" w:cs="宋体"/>
          <w:spacing w:val="10"/>
          <w:sz w:val="24"/>
          <w:szCs w:val="24"/>
        </w:rPr>
        <w:t>）地形：地形平坦，符合建设要求。</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4</w:t>
      </w:r>
      <w:r>
        <w:rPr>
          <w:rFonts w:hint="eastAsia" w:ascii="宋体" w:hAnsi="宋体" w:cs="宋体"/>
          <w:spacing w:val="10"/>
          <w:sz w:val="24"/>
          <w:szCs w:val="24"/>
        </w:rPr>
        <w:t>）地势：地势开阔，与相邻土地无明显高差，符合建设要求。</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5</w:t>
      </w:r>
      <w:r>
        <w:rPr>
          <w:rFonts w:hint="eastAsia" w:ascii="宋体" w:hAnsi="宋体" w:cs="宋体"/>
          <w:spacing w:val="10"/>
          <w:sz w:val="24"/>
          <w:szCs w:val="24"/>
        </w:rPr>
        <w:t>）地质：地质情况良好，不受水文状况影响，地基承载力较强。</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6</w:t>
      </w:r>
      <w:r>
        <w:rPr>
          <w:rFonts w:hint="eastAsia" w:ascii="宋体" w:hAnsi="宋体" w:cs="宋体"/>
          <w:spacing w:val="10"/>
          <w:sz w:val="24"/>
          <w:szCs w:val="24"/>
        </w:rPr>
        <w:t>）土壤：未受过污染。</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7</w:t>
      </w:r>
      <w:r>
        <w:rPr>
          <w:rFonts w:hint="eastAsia" w:ascii="宋体" w:hAnsi="宋体" w:cs="宋体"/>
          <w:spacing w:val="10"/>
          <w:sz w:val="24"/>
          <w:szCs w:val="24"/>
        </w:rPr>
        <w:t>）开发程度：土地开发程度为宗地外围</w:t>
      </w:r>
      <w:r>
        <w:rPr>
          <w:rFonts w:hint="eastAsia" w:ascii="宋体" w:hAnsi="宋体" w:cs="宋体"/>
          <w:sz w:val="24"/>
          <w:szCs w:val="24"/>
        </w:rPr>
        <w:t>“五通”，即通路、供水、排水、供电、通信</w:t>
      </w:r>
      <w:r>
        <w:rPr>
          <w:rFonts w:hint="eastAsia" w:ascii="宋体" w:hAnsi="宋体" w:cs="宋体"/>
          <w:spacing w:val="10"/>
          <w:sz w:val="24"/>
          <w:szCs w:val="24"/>
        </w:rPr>
        <w:t>及宗地内场地平整。</w:t>
      </w:r>
    </w:p>
    <w:p>
      <w:pPr>
        <w:widowControl/>
        <w:spacing w:line="360" w:lineRule="auto"/>
        <w:ind w:firstLine="520" w:firstLineChars="200"/>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建筑物实物状况</w:t>
      </w:r>
    </w:p>
    <w:p>
      <w:pPr>
        <w:widowControl/>
        <w:spacing w:line="360" w:lineRule="auto"/>
        <w:ind w:firstLine="520" w:firstLineChars="200"/>
        <w:rPr>
          <w:rFonts w:hint="eastAsia" w:ascii="宋体" w:hAnsi="宋体" w:cs="宋体"/>
          <w:spacing w:val="10"/>
          <w:sz w:val="24"/>
          <w:szCs w:val="24"/>
          <w:lang w:eastAsia="zh-CN"/>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）建筑物名称：怀化市</w:t>
      </w:r>
      <w:r>
        <w:rPr>
          <w:rFonts w:hint="eastAsia" w:ascii="宋体" w:hAnsi="宋体" w:cs="宋体"/>
          <w:spacing w:val="10"/>
          <w:sz w:val="24"/>
          <w:szCs w:val="24"/>
          <w:lang w:eastAsia="zh-CN"/>
        </w:rPr>
        <w:t>湖南怀化工业园区和安家园南区</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2</w:t>
      </w:r>
      <w:r>
        <w:rPr>
          <w:rFonts w:hint="eastAsia" w:ascii="宋体" w:hAnsi="宋体" w:cs="宋体"/>
          <w:spacing w:val="10"/>
          <w:sz w:val="24"/>
          <w:szCs w:val="24"/>
        </w:rPr>
        <w:t>）建筑规模：</w:t>
      </w:r>
    </w:p>
    <w:p>
      <w:pPr>
        <w:tabs>
          <w:tab w:val="left" w:pos="0"/>
        </w:tabs>
        <w:spacing w:line="360" w:lineRule="auto"/>
        <w:ind w:left="107" w:leftChars="51" w:firstLine="522" w:firstLineChars="201"/>
        <w:rPr>
          <w:rFonts w:hint="default" w:ascii="宋体" w:eastAsia="宋体"/>
          <w:spacing w:val="10"/>
          <w:sz w:val="24"/>
          <w:szCs w:val="24"/>
          <w:lang w:val="en-US" w:eastAsia="zh-CN"/>
        </w:rPr>
      </w:pPr>
      <w:r>
        <w:rPr>
          <w:rFonts w:hint="eastAsia" w:ascii="宋体" w:hAnsi="宋体" w:cs="宋体"/>
          <w:spacing w:val="10"/>
          <w:sz w:val="24"/>
          <w:szCs w:val="24"/>
        </w:rPr>
        <w:t>根据估价委托人提供的资料显示，估价对象为</w:t>
      </w:r>
      <w:r>
        <w:rPr>
          <w:rFonts w:hint="eastAsia" w:ascii="宋体" w:hAnsi="宋体" w:cs="宋体"/>
          <w:spacing w:val="10"/>
          <w:sz w:val="24"/>
          <w:szCs w:val="24"/>
          <w:lang w:eastAsia="zh-CN"/>
        </w:rPr>
        <w:t>两栋</w:t>
      </w:r>
      <w:r>
        <w:rPr>
          <w:rFonts w:ascii="宋体" w:hAnsi="宋体" w:cs="宋体"/>
          <w:spacing w:val="10"/>
          <w:sz w:val="24"/>
          <w:szCs w:val="24"/>
        </w:rPr>
        <w:t>6</w:t>
      </w:r>
      <w:r>
        <w:rPr>
          <w:rFonts w:hint="eastAsia" w:ascii="宋体" w:hAnsi="宋体" w:cs="宋体"/>
          <w:spacing w:val="10"/>
          <w:sz w:val="24"/>
          <w:szCs w:val="24"/>
        </w:rPr>
        <w:t>层的</w:t>
      </w:r>
      <w:r>
        <w:rPr>
          <w:rFonts w:hint="eastAsia" w:ascii="宋体" w:hAnsi="宋体" w:cs="宋体"/>
          <w:spacing w:val="10"/>
          <w:sz w:val="24"/>
          <w:szCs w:val="24"/>
          <w:lang w:eastAsia="zh-CN"/>
        </w:rPr>
        <w:t>商住楼</w:t>
      </w:r>
      <w:r>
        <w:rPr>
          <w:rFonts w:hint="eastAsia" w:ascii="宋体" w:hAnsi="宋体" w:cs="宋体"/>
          <w:spacing w:val="10"/>
          <w:sz w:val="24"/>
          <w:szCs w:val="24"/>
        </w:rPr>
        <w:t>，</w:t>
      </w:r>
      <w:r>
        <w:rPr>
          <w:rFonts w:hint="eastAsia" w:ascii="宋体" w:hAnsi="宋体" w:cs="宋体"/>
          <w:spacing w:val="10"/>
          <w:sz w:val="24"/>
          <w:szCs w:val="24"/>
          <w:lang w:val="en-US" w:eastAsia="zh-CN"/>
        </w:rPr>
        <w:t>01幢101号、02幢104、105号商业用房</w:t>
      </w:r>
      <w:r>
        <w:rPr>
          <w:rFonts w:hint="eastAsia" w:ascii="宋体" w:hAnsi="宋体" w:cs="宋体"/>
          <w:spacing w:val="10"/>
          <w:sz w:val="24"/>
          <w:szCs w:val="24"/>
        </w:rPr>
        <w:t>所在楼层为</w:t>
      </w:r>
      <w:r>
        <w:rPr>
          <w:rFonts w:ascii="宋体" w:hAnsi="宋体" w:cs="宋体"/>
          <w:spacing w:val="10"/>
          <w:sz w:val="24"/>
          <w:szCs w:val="24"/>
        </w:rPr>
        <w:t>1</w:t>
      </w:r>
      <w:r>
        <w:rPr>
          <w:rFonts w:hint="eastAsia" w:ascii="宋体" w:hAnsi="宋体" w:cs="宋体"/>
          <w:spacing w:val="10"/>
          <w:sz w:val="24"/>
          <w:szCs w:val="24"/>
        </w:rPr>
        <w:t>层</w:t>
      </w:r>
      <w:r>
        <w:rPr>
          <w:rFonts w:hint="eastAsia" w:ascii="宋体" w:hAnsi="宋体" w:cs="宋体"/>
          <w:spacing w:val="10"/>
          <w:sz w:val="24"/>
          <w:szCs w:val="24"/>
          <w:lang w:eastAsia="zh-CN"/>
        </w:rPr>
        <w:t>，建筑面积皆为</w:t>
      </w:r>
      <w:r>
        <w:rPr>
          <w:rFonts w:hint="eastAsia" w:ascii="宋体" w:hAnsi="宋体" w:cs="宋体"/>
          <w:spacing w:val="10"/>
          <w:sz w:val="24"/>
          <w:szCs w:val="24"/>
          <w:lang w:val="en-US" w:eastAsia="zh-CN"/>
        </w:rPr>
        <w:t>40.09平方米，</w:t>
      </w:r>
      <w:r>
        <w:rPr>
          <w:rFonts w:ascii="宋体" w:hAnsi="宋体" w:cs="宋体"/>
          <w:spacing w:val="10"/>
          <w:sz w:val="24"/>
          <w:szCs w:val="24"/>
        </w:rPr>
        <w:t>1</w:t>
      </w:r>
      <w:r>
        <w:rPr>
          <w:rFonts w:hint="eastAsia" w:ascii="宋体" w:hAnsi="宋体" w:cs="宋体"/>
          <w:spacing w:val="10"/>
          <w:sz w:val="24"/>
          <w:szCs w:val="24"/>
        </w:rPr>
        <w:t>层层高为</w:t>
      </w:r>
      <w:r>
        <w:rPr>
          <w:rFonts w:hint="eastAsia" w:ascii="宋体" w:hAnsi="宋体" w:cs="宋体"/>
          <w:spacing w:val="10"/>
          <w:sz w:val="24"/>
          <w:szCs w:val="24"/>
          <w:lang w:val="en-US" w:eastAsia="zh-CN"/>
        </w:rPr>
        <w:t>4</w:t>
      </w:r>
      <w:r>
        <w:rPr>
          <w:rFonts w:hint="eastAsia" w:ascii="宋体" w:hAnsi="宋体" w:cs="宋体"/>
          <w:spacing w:val="10"/>
          <w:sz w:val="24"/>
          <w:szCs w:val="24"/>
        </w:rPr>
        <w:t>米</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01幢305号住宅用房所在楼层为3层，建筑面积为96.42平方米，层高为3米；02幢305号住宅用房所在楼层为3层，建筑面积为96.42平方米，层高为3米；02幢306号住宅用房所在楼层为3层，建筑面积为96.53平方米，层高为3米。</w:t>
      </w:r>
    </w:p>
    <w:p>
      <w:pPr>
        <w:tabs>
          <w:tab w:val="left" w:pos="0"/>
        </w:tabs>
        <w:spacing w:line="360" w:lineRule="auto"/>
        <w:ind w:firstLine="520" w:firstLineChars="200"/>
        <w:rPr>
          <w:rFonts w:hint="eastAsia" w:ascii="宋体" w:eastAsia="宋体"/>
          <w:spacing w:val="10"/>
          <w:sz w:val="24"/>
          <w:szCs w:val="24"/>
          <w:lang w:eastAsia="zh-CN"/>
        </w:rPr>
      </w:pPr>
      <w:r>
        <w:rPr>
          <w:rFonts w:hint="eastAsia" w:ascii="宋体" w:hAnsi="宋体" w:cs="宋体"/>
          <w:spacing w:val="10"/>
          <w:sz w:val="24"/>
          <w:szCs w:val="24"/>
        </w:rPr>
        <w:t>（</w:t>
      </w:r>
      <w:r>
        <w:rPr>
          <w:rFonts w:ascii="宋体" w:hAnsi="宋体" w:cs="宋体"/>
          <w:spacing w:val="10"/>
          <w:sz w:val="24"/>
          <w:szCs w:val="24"/>
        </w:rPr>
        <w:t>3</w:t>
      </w:r>
      <w:r>
        <w:rPr>
          <w:rFonts w:hint="eastAsia" w:ascii="宋体" w:hAnsi="宋体" w:cs="宋体"/>
          <w:spacing w:val="10"/>
          <w:sz w:val="24"/>
          <w:szCs w:val="24"/>
        </w:rPr>
        <w:t>）层数：估价对象为</w:t>
      </w:r>
      <w:r>
        <w:rPr>
          <w:rFonts w:hint="eastAsia" w:ascii="宋体" w:hAnsi="宋体" w:cs="宋体"/>
          <w:spacing w:val="10"/>
          <w:sz w:val="24"/>
          <w:szCs w:val="24"/>
          <w:lang w:eastAsia="zh-CN"/>
        </w:rPr>
        <w:t>两</w:t>
      </w:r>
      <w:r>
        <w:rPr>
          <w:rFonts w:hint="eastAsia" w:ascii="宋体" w:hAnsi="宋体" w:cs="宋体"/>
          <w:spacing w:val="10"/>
          <w:sz w:val="24"/>
          <w:szCs w:val="24"/>
        </w:rPr>
        <w:t>栋</w:t>
      </w:r>
      <w:r>
        <w:rPr>
          <w:rFonts w:ascii="宋体" w:hAnsi="宋体" w:cs="宋体"/>
          <w:spacing w:val="10"/>
          <w:sz w:val="24"/>
          <w:szCs w:val="24"/>
        </w:rPr>
        <w:t>6</w:t>
      </w:r>
      <w:r>
        <w:rPr>
          <w:rFonts w:hint="eastAsia" w:ascii="宋体" w:hAnsi="宋体" w:cs="宋体"/>
          <w:spacing w:val="10"/>
          <w:sz w:val="24"/>
          <w:szCs w:val="24"/>
        </w:rPr>
        <w:t>层的</w:t>
      </w:r>
      <w:r>
        <w:rPr>
          <w:rFonts w:hint="eastAsia" w:ascii="宋体" w:hAnsi="宋体" w:cs="宋体"/>
          <w:spacing w:val="10"/>
          <w:sz w:val="24"/>
          <w:szCs w:val="24"/>
          <w:lang w:eastAsia="zh-CN"/>
        </w:rPr>
        <w:t>混合结构商住楼</w:t>
      </w:r>
      <w:r>
        <w:rPr>
          <w:rFonts w:hint="eastAsia" w:ascii="宋体" w:hAnsi="宋体" w:cs="宋体"/>
          <w:spacing w:val="10"/>
          <w:sz w:val="24"/>
          <w:szCs w:val="24"/>
        </w:rPr>
        <w:t>，</w:t>
      </w:r>
      <w:r>
        <w:rPr>
          <w:rFonts w:hint="eastAsia" w:ascii="宋体" w:hAnsi="宋体" w:cs="宋体"/>
          <w:spacing w:val="10"/>
          <w:sz w:val="24"/>
          <w:szCs w:val="24"/>
          <w:lang w:val="en-US" w:eastAsia="zh-CN"/>
        </w:rPr>
        <w:t>01幢101、02幢104、105号商业用房为一层，01幢305、02幢305、306号住宅用房为三层。</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4</w:t>
      </w:r>
      <w:r>
        <w:rPr>
          <w:rFonts w:hint="eastAsia" w:ascii="宋体" w:hAnsi="宋体" w:cs="宋体"/>
          <w:spacing w:val="10"/>
          <w:sz w:val="24"/>
          <w:szCs w:val="24"/>
        </w:rPr>
        <w:t>）建筑结构：估价对象为</w:t>
      </w:r>
      <w:r>
        <w:rPr>
          <w:rFonts w:hint="eastAsia" w:ascii="宋体" w:hAnsi="宋体" w:cs="宋体"/>
          <w:spacing w:val="10"/>
          <w:sz w:val="24"/>
          <w:szCs w:val="24"/>
          <w:lang w:eastAsia="zh-CN"/>
        </w:rPr>
        <w:t>混合</w:t>
      </w:r>
      <w:r>
        <w:rPr>
          <w:rFonts w:hint="eastAsia" w:ascii="宋体" w:hAnsi="宋体" w:cs="宋体"/>
          <w:spacing w:val="10"/>
          <w:sz w:val="24"/>
          <w:szCs w:val="24"/>
        </w:rPr>
        <w:t>结构</w:t>
      </w:r>
    </w:p>
    <w:p>
      <w:pPr>
        <w:widowControl/>
        <w:spacing w:line="360" w:lineRule="auto"/>
        <w:ind w:firstLine="520" w:firstLineChars="200"/>
        <w:rPr>
          <w:rFonts w:ascii="宋体"/>
          <w:sz w:val="24"/>
          <w:szCs w:val="24"/>
        </w:rPr>
      </w:pPr>
      <w:r>
        <w:rPr>
          <w:rFonts w:hint="eastAsia" w:ascii="宋体" w:hAnsi="宋体" w:cs="宋体"/>
          <w:spacing w:val="10"/>
          <w:sz w:val="24"/>
          <w:szCs w:val="24"/>
        </w:rPr>
        <w:t>（</w:t>
      </w:r>
      <w:r>
        <w:rPr>
          <w:rFonts w:ascii="宋体" w:hAnsi="宋体" w:cs="宋体"/>
          <w:spacing w:val="10"/>
          <w:sz w:val="24"/>
          <w:szCs w:val="24"/>
        </w:rPr>
        <w:t>5</w:t>
      </w:r>
      <w:r>
        <w:rPr>
          <w:rFonts w:hint="eastAsia" w:ascii="宋体" w:hAnsi="宋体" w:cs="宋体"/>
          <w:spacing w:val="10"/>
          <w:sz w:val="24"/>
          <w:szCs w:val="24"/>
        </w:rPr>
        <w:t>）设施设备：</w:t>
      </w:r>
      <w:r>
        <w:rPr>
          <w:rFonts w:hint="eastAsia" w:ascii="宋体" w:hAnsi="宋体" w:cs="宋体"/>
          <w:sz w:val="24"/>
          <w:szCs w:val="24"/>
        </w:rPr>
        <w:t>供水、排水、供电、照明、通讯等设施齐全且均能正常使用，估价对象于价值时点为完好房，室外公共配套设施完备程度一般</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6</w:t>
      </w:r>
      <w:r>
        <w:rPr>
          <w:rFonts w:hint="eastAsia" w:ascii="宋体" w:hAnsi="宋体" w:cs="宋体"/>
          <w:spacing w:val="10"/>
          <w:sz w:val="24"/>
          <w:szCs w:val="24"/>
        </w:rPr>
        <w:t>）装饰装修：</w:t>
      </w:r>
    </w:p>
    <w:p>
      <w:pPr>
        <w:widowControl/>
        <w:spacing w:line="440" w:lineRule="exact"/>
        <w:ind w:firstLine="480" w:firstLineChars="200"/>
        <w:rPr>
          <w:rFonts w:hint="eastAsia" w:ascii="宋体" w:hAnsi="宋体" w:cs="宋体"/>
          <w:spacing w:val="10"/>
          <w:sz w:val="24"/>
          <w:szCs w:val="24"/>
        </w:rPr>
      </w:pPr>
      <w:r>
        <w:rPr>
          <w:rFonts w:hint="eastAsia" w:ascii="宋体" w:hAnsi="宋体" w:cs="宋体"/>
          <w:sz w:val="24"/>
          <w:szCs w:val="24"/>
        </w:rPr>
        <w:t>估价对象约</w:t>
      </w:r>
      <w:r>
        <w:rPr>
          <w:rFonts w:ascii="宋体" w:hAnsi="宋体" w:cs="宋体"/>
          <w:sz w:val="24"/>
          <w:szCs w:val="24"/>
        </w:rPr>
        <w:t>2</w:t>
      </w:r>
      <w:r>
        <w:rPr>
          <w:rFonts w:hint="eastAsia" w:ascii="宋体" w:hAnsi="宋体" w:cs="宋体"/>
          <w:sz w:val="24"/>
          <w:szCs w:val="24"/>
          <w:lang w:val="en-US" w:eastAsia="zh-CN"/>
        </w:rPr>
        <w:t>008</w:t>
      </w:r>
      <w:r>
        <w:rPr>
          <w:rFonts w:hint="eastAsia" w:ascii="宋体" w:hAnsi="宋体" w:cs="宋体"/>
          <w:sz w:val="24"/>
          <w:szCs w:val="24"/>
        </w:rPr>
        <w:t>年建成；</w:t>
      </w:r>
      <w:r>
        <w:rPr>
          <w:rFonts w:ascii="宋体" w:hAnsi="宋体"/>
          <w:sz w:val="24"/>
          <w:szCs w:val="24"/>
        </w:rPr>
        <w:t>01</w:t>
      </w:r>
      <w:r>
        <w:rPr>
          <w:rFonts w:hint="eastAsia" w:ascii="宋体" w:hAnsi="宋体"/>
          <w:sz w:val="24"/>
          <w:szCs w:val="24"/>
        </w:rPr>
        <w:t>幢、</w:t>
      </w:r>
      <w:r>
        <w:rPr>
          <w:rFonts w:ascii="宋体" w:hAnsi="宋体"/>
          <w:sz w:val="24"/>
          <w:szCs w:val="24"/>
        </w:rPr>
        <w:t>02</w:t>
      </w:r>
      <w:r>
        <w:rPr>
          <w:rFonts w:hint="eastAsia" w:ascii="宋体" w:hAnsi="宋体"/>
          <w:sz w:val="24"/>
          <w:szCs w:val="24"/>
        </w:rPr>
        <w:t>幢整幢建筑物外墙刷墙漆及贴小墙砖</w:t>
      </w:r>
      <w:r>
        <w:rPr>
          <w:rFonts w:hint="eastAsia" w:ascii="宋体" w:hAnsi="宋体" w:cs="宋体"/>
          <w:sz w:val="24"/>
          <w:szCs w:val="24"/>
        </w:rPr>
        <w:t>；</w:t>
      </w:r>
      <w:r>
        <w:rPr>
          <w:rFonts w:hint="eastAsia" w:ascii="宋体" w:hAnsi="宋体" w:cs="宋体"/>
          <w:spacing w:val="10"/>
          <w:sz w:val="24"/>
          <w:szCs w:val="24"/>
        </w:rPr>
        <w:t>估价对象室内装修情况为：</w:t>
      </w:r>
    </w:p>
    <w:tbl>
      <w:tblPr>
        <w:tblStyle w:val="40"/>
        <w:tblW w:w="8626" w:type="dxa"/>
        <w:tblInd w:w="0" w:type="dxa"/>
        <w:tblLayout w:type="fixed"/>
        <w:tblCellMar>
          <w:top w:w="0" w:type="dxa"/>
          <w:left w:w="108" w:type="dxa"/>
          <w:bottom w:w="0" w:type="dxa"/>
          <w:right w:w="108" w:type="dxa"/>
        </w:tblCellMar>
      </w:tblPr>
      <w:tblGrid>
        <w:gridCol w:w="699"/>
        <w:gridCol w:w="1307"/>
        <w:gridCol w:w="591"/>
        <w:gridCol w:w="592"/>
        <w:gridCol w:w="2021"/>
        <w:gridCol w:w="3416"/>
      </w:tblGrid>
      <w:tr>
        <w:tblPrEx>
          <w:tblLayout w:type="fixed"/>
          <w:tblCellMar>
            <w:top w:w="0" w:type="dxa"/>
            <w:left w:w="108" w:type="dxa"/>
            <w:bottom w:w="0" w:type="dxa"/>
            <w:right w:w="108" w:type="dxa"/>
          </w:tblCellMar>
        </w:tblPrEx>
        <w:trPr>
          <w:trHeight w:val="285"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序号</w:t>
            </w:r>
          </w:p>
        </w:tc>
        <w:tc>
          <w:tcPr>
            <w:tcW w:w="1307" w:type="dxa"/>
            <w:tcBorders>
              <w:top w:val="single" w:color="auto" w:sz="4" w:space="0"/>
              <w:left w:val="nil"/>
              <w:bottom w:val="single" w:color="auto" w:sz="4" w:space="0"/>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房权证号</w:t>
            </w:r>
          </w:p>
        </w:tc>
        <w:tc>
          <w:tcPr>
            <w:tcW w:w="591" w:type="dxa"/>
            <w:tcBorders>
              <w:top w:val="single" w:color="auto" w:sz="4" w:space="0"/>
              <w:left w:val="nil"/>
              <w:bottom w:val="nil"/>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592" w:type="dxa"/>
            <w:tcBorders>
              <w:top w:val="single" w:color="auto" w:sz="4" w:space="0"/>
              <w:left w:val="nil"/>
              <w:bottom w:val="nil"/>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房号</w:t>
            </w:r>
          </w:p>
        </w:tc>
        <w:tc>
          <w:tcPr>
            <w:tcW w:w="2021" w:type="dxa"/>
            <w:tcBorders>
              <w:top w:val="single" w:color="auto" w:sz="4" w:space="0"/>
              <w:left w:val="nil"/>
              <w:bottom w:val="nil"/>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房屋坐落</w:t>
            </w:r>
          </w:p>
        </w:tc>
        <w:tc>
          <w:tcPr>
            <w:tcW w:w="3416" w:type="dxa"/>
            <w:tcBorders>
              <w:top w:val="single" w:color="auto" w:sz="4" w:space="0"/>
              <w:left w:val="nil"/>
              <w:bottom w:val="single" w:color="auto" w:sz="4" w:space="0"/>
              <w:right w:val="single" w:color="auto" w:sz="4" w:space="0"/>
            </w:tcBorders>
            <w:noWrap w:val="0"/>
            <w:vAlign w:val="center"/>
          </w:tcPr>
          <w:p>
            <w:pPr>
              <w:widowControl/>
              <w:jc w:val="center"/>
              <w:rPr>
                <w:rFonts w:ascii="宋体" w:cs="宋体"/>
                <w:color w:val="000000"/>
                <w:kern w:val="0"/>
                <w:sz w:val="20"/>
                <w:szCs w:val="20"/>
              </w:rPr>
            </w:pPr>
            <w:r>
              <w:rPr>
                <w:rFonts w:hint="eastAsia" w:ascii="宋体" w:hAnsi="宋体" w:cs="宋体"/>
                <w:color w:val="000000"/>
                <w:kern w:val="0"/>
                <w:sz w:val="20"/>
                <w:szCs w:val="20"/>
              </w:rPr>
              <w:t>装饰装修</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1</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709000248</w:t>
            </w:r>
          </w:p>
        </w:tc>
        <w:tc>
          <w:tcPr>
            <w:tcW w:w="591" w:type="dxa"/>
            <w:tcBorders>
              <w:top w:val="single" w:color="auto" w:sz="4" w:space="0"/>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01幢</w:t>
            </w:r>
          </w:p>
        </w:tc>
        <w:tc>
          <w:tcPr>
            <w:tcW w:w="592" w:type="dxa"/>
            <w:tcBorders>
              <w:top w:val="single" w:color="auto" w:sz="4" w:space="0"/>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cs="宋体"/>
                <w:color w:val="000000"/>
                <w:kern w:val="0"/>
                <w:sz w:val="20"/>
                <w:szCs w:val="20"/>
                <w:lang w:val="en-US" w:eastAsia="zh-CN"/>
              </w:rPr>
              <w:t>101</w:t>
            </w: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hAnsi="宋体" w:cs="宋体"/>
                <w:kern w:val="0"/>
                <w:sz w:val="20"/>
                <w:szCs w:val="20"/>
                <w:lang w:eastAsia="zh-CN"/>
              </w:rPr>
              <w:t>现使用状况为出租，出租店面名叫和安批发部，</w:t>
            </w:r>
            <w:r>
              <w:rPr>
                <w:rFonts w:hint="eastAsia" w:ascii="宋体" w:hAnsi="宋体" w:cs="宋体"/>
                <w:kern w:val="0"/>
                <w:sz w:val="20"/>
                <w:szCs w:val="20"/>
              </w:rPr>
              <w:t>层高约</w:t>
            </w:r>
            <w:r>
              <w:rPr>
                <w:rFonts w:hint="eastAsia" w:ascii="宋体" w:hAnsi="宋体" w:cs="宋体"/>
                <w:kern w:val="0"/>
                <w:sz w:val="20"/>
                <w:szCs w:val="20"/>
                <w:lang w:val="en-US" w:eastAsia="zh-CN"/>
              </w:rPr>
              <w:t>4</w:t>
            </w:r>
            <w:r>
              <w:rPr>
                <w:rFonts w:hint="eastAsia" w:ascii="宋体" w:hAnsi="宋体" w:cs="宋体"/>
                <w:kern w:val="0"/>
                <w:sz w:val="20"/>
                <w:szCs w:val="20"/>
              </w:rPr>
              <w:t>米，卷闸门，双灰粉，</w:t>
            </w:r>
            <w:r>
              <w:rPr>
                <w:rFonts w:hint="eastAsia" w:ascii="宋体" w:hAnsi="宋体" w:cs="宋体"/>
                <w:kern w:val="0"/>
                <w:sz w:val="20"/>
                <w:szCs w:val="20"/>
                <w:lang w:eastAsia="zh-CN"/>
              </w:rPr>
              <w:t>地面铺瓷砖</w:t>
            </w:r>
            <w:r>
              <w:rPr>
                <w:rFonts w:hint="eastAsia" w:ascii="宋体" w:hAnsi="宋体" w:cs="宋体"/>
                <w:kern w:val="0"/>
                <w:sz w:val="20"/>
                <w:szCs w:val="20"/>
              </w:rPr>
              <w:t>。</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2</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714000060</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02幢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104</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hAnsi="宋体" w:cs="宋体"/>
                <w:kern w:val="0"/>
                <w:sz w:val="20"/>
                <w:szCs w:val="20"/>
                <w:lang w:eastAsia="zh-CN"/>
              </w:rPr>
              <w:t>现使用状况为出租，出租店面名叫容声厨卫（空气能）</w:t>
            </w:r>
            <w:r>
              <w:rPr>
                <w:rFonts w:hint="eastAsia" w:ascii="宋体" w:hAnsi="宋体" w:cs="宋体"/>
                <w:kern w:val="0"/>
                <w:sz w:val="20"/>
                <w:szCs w:val="20"/>
              </w:rPr>
              <w:t>，层高约</w:t>
            </w:r>
            <w:r>
              <w:rPr>
                <w:rFonts w:hint="eastAsia" w:ascii="宋体" w:hAnsi="宋体" w:cs="宋体"/>
                <w:kern w:val="0"/>
                <w:sz w:val="20"/>
                <w:szCs w:val="20"/>
                <w:lang w:val="en-US" w:eastAsia="zh-CN"/>
              </w:rPr>
              <w:t>4</w:t>
            </w:r>
            <w:r>
              <w:rPr>
                <w:rFonts w:hint="eastAsia" w:ascii="宋体" w:hAnsi="宋体" w:cs="宋体"/>
                <w:kern w:val="0"/>
                <w:sz w:val="20"/>
                <w:szCs w:val="20"/>
              </w:rPr>
              <w:t>米，卷闸门，双灰粉，</w:t>
            </w:r>
            <w:r>
              <w:rPr>
                <w:rFonts w:hint="eastAsia" w:ascii="宋体" w:hAnsi="宋体" w:cs="宋体"/>
                <w:kern w:val="0"/>
                <w:sz w:val="20"/>
                <w:szCs w:val="20"/>
                <w:lang w:eastAsia="zh-CN"/>
              </w:rPr>
              <w:t>地面铺瓷砖</w:t>
            </w:r>
            <w:r>
              <w:rPr>
                <w:rFonts w:hint="eastAsia" w:ascii="宋体" w:hAnsi="宋体" w:cs="宋体"/>
                <w:kern w:val="0"/>
                <w:sz w:val="20"/>
                <w:szCs w:val="20"/>
              </w:rPr>
              <w:t>。</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3</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709000248</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02幢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105</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hAnsi="宋体" w:cs="宋体"/>
                <w:kern w:val="0"/>
                <w:sz w:val="20"/>
                <w:szCs w:val="20"/>
                <w:lang w:eastAsia="zh-CN"/>
              </w:rPr>
              <w:t>现使用状况为出租，出租店面名叫佳源通讯</w:t>
            </w:r>
            <w:r>
              <w:rPr>
                <w:rFonts w:hint="eastAsia" w:ascii="宋体" w:hAnsi="宋体" w:cs="宋体"/>
                <w:kern w:val="0"/>
                <w:sz w:val="20"/>
                <w:szCs w:val="20"/>
              </w:rPr>
              <w:t>，层高约</w:t>
            </w:r>
            <w:r>
              <w:rPr>
                <w:rFonts w:hint="eastAsia" w:ascii="宋体" w:hAnsi="宋体" w:cs="宋体"/>
                <w:kern w:val="0"/>
                <w:sz w:val="20"/>
                <w:szCs w:val="20"/>
                <w:lang w:val="en-US" w:eastAsia="zh-CN"/>
              </w:rPr>
              <w:t>4</w:t>
            </w:r>
            <w:r>
              <w:rPr>
                <w:rFonts w:hint="eastAsia" w:ascii="宋体" w:hAnsi="宋体" w:cs="宋体"/>
                <w:kern w:val="0"/>
                <w:sz w:val="20"/>
                <w:szCs w:val="20"/>
              </w:rPr>
              <w:t>米，卷闸门，双灰粉，</w:t>
            </w:r>
            <w:r>
              <w:rPr>
                <w:rFonts w:hint="eastAsia" w:ascii="宋体" w:hAnsi="宋体" w:cs="宋体"/>
                <w:kern w:val="0"/>
                <w:sz w:val="20"/>
                <w:szCs w:val="20"/>
                <w:lang w:eastAsia="zh-CN"/>
              </w:rPr>
              <w:t>地面铺瓷砖</w:t>
            </w:r>
            <w:r>
              <w:rPr>
                <w:rFonts w:hint="eastAsia" w:ascii="宋体" w:hAnsi="宋体" w:cs="宋体"/>
                <w:kern w:val="0"/>
                <w:sz w:val="20"/>
                <w:szCs w:val="20"/>
              </w:rPr>
              <w:t>。</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4</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714000061</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01幢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305</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hAnsi="宋体" w:cs="宋体"/>
                <w:kern w:val="0"/>
                <w:sz w:val="20"/>
                <w:szCs w:val="20"/>
                <w:lang w:eastAsia="zh-CN"/>
              </w:rPr>
              <w:t>三室一厅一厨一卫一厕</w:t>
            </w:r>
            <w:r>
              <w:rPr>
                <w:rFonts w:hint="eastAsia" w:ascii="宋体" w:hAnsi="宋体" w:cs="宋体"/>
                <w:kern w:val="0"/>
                <w:sz w:val="20"/>
                <w:szCs w:val="20"/>
              </w:rPr>
              <w:t>，层高约</w:t>
            </w:r>
            <w:r>
              <w:rPr>
                <w:rFonts w:hint="eastAsia" w:ascii="宋体" w:hAnsi="宋体" w:cs="宋体"/>
                <w:kern w:val="0"/>
                <w:sz w:val="20"/>
                <w:szCs w:val="20"/>
                <w:lang w:val="en-US" w:eastAsia="zh-CN"/>
              </w:rPr>
              <w:t>3</w:t>
            </w:r>
            <w:r>
              <w:rPr>
                <w:rFonts w:hint="eastAsia" w:ascii="宋体" w:hAnsi="宋体" w:cs="宋体"/>
                <w:kern w:val="0"/>
                <w:sz w:val="20"/>
                <w:szCs w:val="20"/>
              </w:rPr>
              <w:t>米，</w:t>
            </w:r>
            <w:r>
              <w:rPr>
                <w:rFonts w:hint="eastAsia" w:ascii="宋体" w:hAnsi="宋体" w:cs="宋体"/>
                <w:kern w:val="0"/>
                <w:sz w:val="20"/>
                <w:szCs w:val="20"/>
                <w:lang w:eastAsia="zh-CN"/>
              </w:rPr>
              <w:t>防盗门</w:t>
            </w:r>
            <w:r>
              <w:rPr>
                <w:rFonts w:hint="eastAsia" w:ascii="宋体" w:hAnsi="宋体" w:cs="宋体"/>
                <w:kern w:val="0"/>
                <w:sz w:val="20"/>
                <w:szCs w:val="20"/>
              </w:rPr>
              <w:t>，双灰粉，</w:t>
            </w:r>
            <w:r>
              <w:rPr>
                <w:rFonts w:hint="eastAsia" w:ascii="宋体" w:hAnsi="宋体" w:cs="宋体"/>
                <w:kern w:val="0"/>
                <w:sz w:val="20"/>
                <w:szCs w:val="20"/>
                <w:lang w:eastAsia="zh-CN"/>
              </w:rPr>
              <w:t>地面铺瓷砖，窗为铝合金窗</w:t>
            </w:r>
            <w:r>
              <w:rPr>
                <w:rFonts w:hint="eastAsia" w:ascii="宋体" w:hAnsi="宋体" w:cs="宋体"/>
                <w:kern w:val="0"/>
                <w:sz w:val="20"/>
                <w:szCs w:val="20"/>
              </w:rPr>
              <w:t>。</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5</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709000249</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02幢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305</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hint="eastAsia" w:ascii="宋体" w:eastAsia="宋体" w:cs="宋体"/>
                <w:kern w:val="0"/>
                <w:sz w:val="20"/>
                <w:szCs w:val="20"/>
                <w:lang w:eastAsia="zh-CN"/>
              </w:rPr>
            </w:pPr>
            <w:r>
              <w:rPr>
                <w:rFonts w:hint="eastAsia" w:ascii="宋体" w:cs="宋体"/>
                <w:kern w:val="0"/>
                <w:sz w:val="20"/>
                <w:szCs w:val="20"/>
                <w:lang w:eastAsia="zh-CN"/>
              </w:rPr>
              <w:t>未入室查勘，参照已现场查勘的</w:t>
            </w:r>
            <w:r>
              <w:rPr>
                <w:rFonts w:hint="eastAsia" w:ascii="宋体" w:cs="宋体"/>
                <w:kern w:val="0"/>
                <w:sz w:val="20"/>
                <w:szCs w:val="20"/>
                <w:lang w:val="en-US" w:eastAsia="zh-CN"/>
              </w:rPr>
              <w:t>01幢305号住宅</w:t>
            </w:r>
            <w:r>
              <w:rPr>
                <w:rFonts w:hint="eastAsia" w:ascii="宋体" w:cs="宋体"/>
                <w:kern w:val="0"/>
                <w:sz w:val="20"/>
                <w:szCs w:val="20"/>
                <w:lang w:eastAsia="zh-CN"/>
              </w:rPr>
              <w:t>，装修基本一致。</w:t>
            </w:r>
          </w:p>
        </w:tc>
      </w:tr>
      <w:tr>
        <w:tblPrEx>
          <w:tblLayout w:type="fixed"/>
          <w:tblCellMar>
            <w:top w:w="0" w:type="dxa"/>
            <w:left w:w="108" w:type="dxa"/>
            <w:bottom w:w="0" w:type="dxa"/>
            <w:right w:w="108" w:type="dxa"/>
          </w:tblCellMar>
        </w:tblPrEx>
        <w:trPr>
          <w:trHeight w:val="720" w:hRule="atLeast"/>
        </w:trPr>
        <w:tc>
          <w:tcPr>
            <w:tcW w:w="699" w:type="dxa"/>
            <w:tcBorders>
              <w:top w:val="nil"/>
              <w:left w:val="single" w:color="auto" w:sz="4" w:space="0"/>
              <w:bottom w:val="single" w:color="auto" w:sz="4" w:space="0"/>
              <w:right w:val="single" w:color="auto" w:sz="4" w:space="0"/>
            </w:tcBorders>
            <w:noWrap/>
            <w:vAlign w:val="center"/>
          </w:tcPr>
          <w:p>
            <w:pPr>
              <w:widowControl/>
              <w:jc w:val="center"/>
              <w:rPr>
                <w:rFonts w:ascii="宋体" w:cs="宋体"/>
                <w:kern w:val="0"/>
                <w:sz w:val="20"/>
                <w:szCs w:val="20"/>
              </w:rPr>
            </w:pPr>
            <w:r>
              <w:rPr>
                <w:rFonts w:ascii="宋体" w:hAnsi="宋体" w:cs="宋体"/>
                <w:kern w:val="0"/>
                <w:sz w:val="20"/>
                <w:szCs w:val="20"/>
              </w:rPr>
              <w:t>6</w:t>
            </w:r>
          </w:p>
        </w:tc>
        <w:tc>
          <w:tcPr>
            <w:tcW w:w="1307" w:type="dxa"/>
            <w:tcBorders>
              <w:top w:val="nil"/>
              <w:left w:val="nil"/>
              <w:bottom w:val="single" w:color="auto" w:sz="4" w:space="0"/>
              <w:right w:val="nil"/>
            </w:tcBorders>
            <w:noWrap w:val="0"/>
            <w:vAlign w:val="center"/>
          </w:tcPr>
          <w:p>
            <w:pPr>
              <w:widowControl/>
              <w:jc w:val="center"/>
              <w:rPr>
                <w:rFonts w:ascii="宋体" w:cs="宋体"/>
                <w:color w:val="000000"/>
                <w:kern w:val="0"/>
                <w:sz w:val="20"/>
                <w:szCs w:val="20"/>
              </w:rPr>
            </w:pPr>
            <w:r>
              <w:rPr>
                <w:rFonts w:hint="eastAsia" w:ascii="宋体"/>
                <w:color w:val="000000"/>
                <w:kern w:val="0"/>
                <w:sz w:val="20"/>
                <w:szCs w:val="20"/>
                <w:lang w:val="en-US" w:eastAsia="zh-CN"/>
              </w:rPr>
              <w:t>709000249</w:t>
            </w:r>
          </w:p>
        </w:tc>
        <w:tc>
          <w:tcPr>
            <w:tcW w:w="591" w:type="dxa"/>
            <w:tcBorders>
              <w:top w:val="nil"/>
              <w:left w:val="single" w:color="auto" w:sz="4" w:space="0"/>
              <w:bottom w:val="single" w:color="auto" w:sz="4" w:space="0"/>
              <w:right w:val="nil"/>
            </w:tcBorders>
            <w:noWrap w:val="0"/>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lang w:val="en-US" w:eastAsia="zh-CN"/>
              </w:rPr>
              <w:t>02幢</w:t>
            </w:r>
          </w:p>
        </w:tc>
        <w:tc>
          <w:tcPr>
            <w:tcW w:w="592" w:type="dxa"/>
            <w:tcBorders>
              <w:top w:val="nil"/>
              <w:left w:val="single" w:color="auto" w:sz="4" w:space="0"/>
              <w:bottom w:val="single" w:color="auto" w:sz="4" w:space="0"/>
              <w:right w:val="nil"/>
            </w:tcBorders>
            <w:noWrap w:val="0"/>
            <w:vAlign w:val="center"/>
          </w:tcPr>
          <w:p>
            <w:pPr>
              <w:widowControl/>
              <w:jc w:val="center"/>
              <w:rPr>
                <w:rFonts w:hint="default" w:asci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306</w:t>
            </w:r>
          </w:p>
        </w:tc>
        <w:tc>
          <w:tcPr>
            <w:tcW w:w="202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3416" w:type="dxa"/>
            <w:tcBorders>
              <w:top w:val="nil"/>
              <w:left w:val="nil"/>
              <w:bottom w:val="single" w:color="auto" w:sz="4" w:space="0"/>
              <w:right w:val="single" w:color="auto" w:sz="4" w:space="0"/>
            </w:tcBorders>
            <w:noWrap w:val="0"/>
            <w:vAlign w:val="center"/>
          </w:tcPr>
          <w:p>
            <w:pPr>
              <w:widowControl/>
              <w:jc w:val="left"/>
              <w:rPr>
                <w:rFonts w:ascii="宋体" w:cs="宋体"/>
                <w:kern w:val="0"/>
                <w:sz w:val="20"/>
                <w:szCs w:val="20"/>
              </w:rPr>
            </w:pPr>
            <w:r>
              <w:rPr>
                <w:rFonts w:hint="eastAsia" w:ascii="宋体" w:cs="宋体"/>
                <w:kern w:val="0"/>
                <w:sz w:val="20"/>
                <w:szCs w:val="20"/>
                <w:lang w:eastAsia="zh-CN"/>
              </w:rPr>
              <w:t>未入室查勘，参照已现场查勘的</w:t>
            </w:r>
            <w:r>
              <w:rPr>
                <w:rFonts w:hint="eastAsia" w:ascii="宋体" w:cs="宋体"/>
                <w:kern w:val="0"/>
                <w:sz w:val="20"/>
                <w:szCs w:val="20"/>
                <w:lang w:val="en-US" w:eastAsia="zh-CN"/>
              </w:rPr>
              <w:t>01幢305号住宅</w:t>
            </w:r>
            <w:r>
              <w:rPr>
                <w:rFonts w:hint="eastAsia" w:ascii="宋体" w:cs="宋体"/>
                <w:kern w:val="0"/>
                <w:sz w:val="20"/>
                <w:szCs w:val="20"/>
                <w:lang w:eastAsia="zh-CN"/>
              </w:rPr>
              <w:t>，装修基本一致。</w:t>
            </w:r>
          </w:p>
        </w:tc>
      </w:tr>
    </w:tbl>
    <w:p>
      <w:pPr>
        <w:tabs>
          <w:tab w:val="left" w:pos="0"/>
        </w:tabs>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7</w:t>
      </w:r>
      <w:r>
        <w:rPr>
          <w:rFonts w:hint="eastAsia" w:ascii="宋体" w:hAnsi="宋体" w:cs="宋体"/>
          <w:spacing w:val="10"/>
          <w:sz w:val="24"/>
          <w:szCs w:val="24"/>
        </w:rPr>
        <w:t>）空间布局：怀化市</w:t>
      </w:r>
      <w:r>
        <w:rPr>
          <w:rFonts w:hint="eastAsia" w:ascii="宋体" w:hAnsi="宋体" w:cs="宋体"/>
          <w:spacing w:val="10"/>
          <w:sz w:val="24"/>
          <w:szCs w:val="24"/>
          <w:lang w:eastAsia="zh-CN"/>
        </w:rPr>
        <w:t>湖南怀化工业园区和安家园南区</w:t>
      </w:r>
      <w:r>
        <w:rPr>
          <w:rFonts w:hint="eastAsia" w:ascii="宋体" w:hAnsi="宋体" w:cs="宋体"/>
          <w:spacing w:val="10"/>
          <w:sz w:val="24"/>
          <w:szCs w:val="24"/>
          <w:lang w:val="en-US" w:eastAsia="zh-CN"/>
        </w:rPr>
        <w:t>01幢101</w:t>
      </w:r>
      <w:r>
        <w:rPr>
          <w:rFonts w:hint="eastAsia" w:ascii="宋体" w:hAnsi="宋体" w:cs="宋体"/>
          <w:spacing w:val="10"/>
          <w:sz w:val="24"/>
          <w:szCs w:val="24"/>
        </w:rPr>
        <w:t>号</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02幢104、105号商业用房</w:t>
      </w:r>
      <w:r>
        <w:rPr>
          <w:rFonts w:hint="eastAsia" w:ascii="宋体" w:hAnsi="宋体" w:cs="宋体"/>
          <w:spacing w:val="10"/>
          <w:sz w:val="24"/>
          <w:szCs w:val="24"/>
        </w:rPr>
        <w:t>进深约</w:t>
      </w:r>
      <w:r>
        <w:rPr>
          <w:rFonts w:hint="eastAsia" w:ascii="宋体" w:hAnsi="宋体" w:cs="宋体"/>
          <w:spacing w:val="10"/>
          <w:sz w:val="24"/>
          <w:szCs w:val="24"/>
          <w:lang w:val="en-US" w:eastAsia="zh-CN"/>
        </w:rPr>
        <w:t>10.5</w:t>
      </w:r>
      <w:r>
        <w:rPr>
          <w:rFonts w:hint="eastAsia" w:ascii="宋体" w:hAnsi="宋体" w:cs="宋体"/>
          <w:spacing w:val="10"/>
          <w:sz w:val="24"/>
          <w:szCs w:val="24"/>
        </w:rPr>
        <w:t>米，宽度约</w:t>
      </w:r>
      <w:r>
        <w:rPr>
          <w:rFonts w:hint="eastAsia" w:ascii="宋体" w:hAnsi="宋体" w:cs="宋体"/>
          <w:spacing w:val="10"/>
          <w:sz w:val="24"/>
          <w:szCs w:val="24"/>
          <w:lang w:val="en-US" w:eastAsia="zh-CN"/>
        </w:rPr>
        <w:t>3.8</w:t>
      </w:r>
      <w:r>
        <w:rPr>
          <w:rFonts w:hint="eastAsia" w:ascii="宋体" w:hAnsi="宋体" w:cs="宋体"/>
          <w:spacing w:val="10"/>
          <w:sz w:val="24"/>
          <w:szCs w:val="24"/>
        </w:rPr>
        <w:t>米</w:t>
      </w:r>
      <w:r>
        <w:rPr>
          <w:rFonts w:hint="eastAsia" w:ascii="宋体" w:hAnsi="宋体" w:cs="宋体"/>
          <w:spacing w:val="10"/>
          <w:sz w:val="24"/>
          <w:szCs w:val="24"/>
          <w:lang w:eastAsia="zh-CN"/>
        </w:rPr>
        <w:t>，层高约</w:t>
      </w:r>
      <w:r>
        <w:rPr>
          <w:rFonts w:hint="eastAsia" w:ascii="宋体" w:hAnsi="宋体" w:cs="宋体"/>
          <w:spacing w:val="10"/>
          <w:sz w:val="24"/>
          <w:szCs w:val="24"/>
          <w:lang w:val="en-US" w:eastAsia="zh-CN"/>
        </w:rPr>
        <w:t>4米</w:t>
      </w:r>
      <w:r>
        <w:rPr>
          <w:rFonts w:hint="eastAsia" w:ascii="宋体" w:hAnsi="宋体" w:cs="宋体"/>
          <w:spacing w:val="10"/>
          <w:sz w:val="24"/>
          <w:szCs w:val="24"/>
        </w:rPr>
        <w:t>；</w:t>
      </w:r>
      <w:r>
        <w:rPr>
          <w:rFonts w:hint="eastAsia" w:ascii="宋体" w:hAnsi="宋体" w:cs="宋体"/>
          <w:spacing w:val="10"/>
          <w:sz w:val="24"/>
          <w:szCs w:val="24"/>
          <w:lang w:val="en-US" w:eastAsia="zh-CN"/>
        </w:rPr>
        <w:t>01幢305号、02幢305、306号住宅用房层高约3米</w:t>
      </w:r>
      <w:r>
        <w:rPr>
          <w:rFonts w:hint="eastAsia" w:ascii="宋体" w:hAnsi="宋体" w:cs="宋体"/>
          <w:spacing w:val="10"/>
          <w:sz w:val="24"/>
          <w:szCs w:val="24"/>
        </w:rPr>
        <w:t>。</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8</w:t>
      </w:r>
      <w:r>
        <w:rPr>
          <w:rFonts w:hint="eastAsia" w:ascii="宋体" w:hAnsi="宋体" w:cs="宋体"/>
          <w:spacing w:val="10"/>
          <w:sz w:val="24"/>
          <w:szCs w:val="24"/>
        </w:rPr>
        <w:t>）建筑功能：估价对象为</w:t>
      </w:r>
      <w:r>
        <w:rPr>
          <w:rFonts w:hint="eastAsia" w:ascii="宋体" w:hAnsi="宋体" w:cs="宋体"/>
          <w:spacing w:val="10"/>
          <w:sz w:val="24"/>
          <w:szCs w:val="24"/>
          <w:lang w:eastAsia="zh-CN"/>
        </w:rPr>
        <w:t>商住楼</w:t>
      </w:r>
      <w:r>
        <w:rPr>
          <w:rFonts w:hint="eastAsia" w:ascii="宋体" w:hAnsi="宋体" w:cs="宋体"/>
          <w:spacing w:val="10"/>
          <w:sz w:val="24"/>
          <w:szCs w:val="24"/>
        </w:rPr>
        <w:t>，采光较为充足，南北通透，屋顶有隔热层，防水较好</w:t>
      </w:r>
    </w:p>
    <w:p>
      <w:pPr>
        <w:widowControl/>
        <w:spacing w:line="360" w:lineRule="auto"/>
        <w:ind w:firstLine="520" w:firstLineChars="200"/>
        <w:rPr>
          <w:rFonts w:hint="eastAsia" w:ascii="宋体" w:eastAsia="宋体"/>
          <w:spacing w:val="10"/>
          <w:sz w:val="24"/>
          <w:szCs w:val="24"/>
          <w:lang w:eastAsia="zh-CN"/>
        </w:rPr>
      </w:pPr>
      <w:r>
        <w:rPr>
          <w:rFonts w:hint="eastAsia" w:ascii="宋体" w:hAnsi="宋体" w:cs="宋体"/>
          <w:spacing w:val="10"/>
          <w:sz w:val="24"/>
          <w:szCs w:val="24"/>
        </w:rPr>
        <w:t>（</w:t>
      </w:r>
      <w:r>
        <w:rPr>
          <w:rFonts w:ascii="宋体" w:hAnsi="宋体" w:cs="宋体"/>
          <w:spacing w:val="10"/>
          <w:sz w:val="24"/>
          <w:szCs w:val="24"/>
        </w:rPr>
        <w:t>9</w:t>
      </w:r>
      <w:r>
        <w:rPr>
          <w:rFonts w:hint="eastAsia" w:ascii="宋体" w:hAnsi="宋体" w:cs="宋体"/>
          <w:spacing w:val="10"/>
          <w:sz w:val="24"/>
          <w:szCs w:val="24"/>
        </w:rPr>
        <w:t>）外观：估价对象为</w:t>
      </w:r>
      <w:r>
        <w:rPr>
          <w:rFonts w:hint="eastAsia" w:ascii="宋体" w:hAnsi="宋体" w:cs="宋体"/>
          <w:spacing w:val="10"/>
          <w:sz w:val="24"/>
          <w:szCs w:val="24"/>
          <w:lang w:eastAsia="zh-CN"/>
        </w:rPr>
        <w:t>商住楼</w:t>
      </w:r>
    </w:p>
    <w:p>
      <w:pPr>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10</w:t>
      </w:r>
      <w:r>
        <w:rPr>
          <w:rFonts w:hint="eastAsia" w:ascii="宋体" w:hAnsi="宋体" w:cs="宋体"/>
          <w:spacing w:val="10"/>
          <w:sz w:val="24"/>
          <w:szCs w:val="24"/>
        </w:rPr>
        <w:t>）建成时间（新旧程度）：估价对象建于</w:t>
      </w:r>
      <w:r>
        <w:rPr>
          <w:rFonts w:hint="eastAsia" w:ascii="宋体" w:hAnsi="宋体" w:cs="宋体"/>
          <w:spacing w:val="10"/>
          <w:sz w:val="24"/>
          <w:szCs w:val="24"/>
          <w:lang w:val="en-US" w:eastAsia="zh-CN"/>
        </w:rPr>
        <w:t>2008</w:t>
      </w:r>
      <w:r>
        <w:rPr>
          <w:rFonts w:hint="eastAsia" w:ascii="宋体" w:hAnsi="宋体" w:cs="宋体"/>
          <w:spacing w:val="10"/>
          <w:sz w:val="24"/>
          <w:szCs w:val="24"/>
        </w:rPr>
        <w:t>年，实勘房屋维护使用较好，属于完好房。</w:t>
      </w:r>
    </w:p>
    <w:p>
      <w:pPr>
        <w:widowControl/>
        <w:spacing w:line="360" w:lineRule="auto"/>
        <w:ind w:right="8" w:rightChars="4" w:firstLine="480" w:firstLineChars="200"/>
        <w:rPr>
          <w:rFonts w:ascii="宋体"/>
          <w:spacing w:val="10"/>
          <w:sz w:val="24"/>
          <w:szCs w:val="24"/>
        </w:rPr>
      </w:pPr>
      <w:r>
        <w:rPr>
          <w:rFonts w:hint="eastAsia" w:ascii="宋体" w:hAnsi="宋体" w:cs="宋体"/>
          <w:sz w:val="24"/>
          <w:szCs w:val="24"/>
        </w:rPr>
        <w:t>（三）</w:t>
      </w:r>
      <w:r>
        <w:rPr>
          <w:rFonts w:hint="eastAsia" w:ascii="宋体" w:hAnsi="宋体" w:cs="宋体"/>
          <w:spacing w:val="10"/>
          <w:sz w:val="24"/>
          <w:szCs w:val="24"/>
        </w:rPr>
        <w:t>权益状况描述与分析</w:t>
      </w:r>
    </w:p>
    <w:p>
      <w:pPr>
        <w:widowControl/>
        <w:spacing w:line="440" w:lineRule="exact"/>
        <w:ind w:firstLine="520" w:firstLineChars="200"/>
        <w:rPr>
          <w:rFonts w:ascii="宋体"/>
          <w:b/>
          <w:bCs/>
          <w:spacing w:val="10"/>
        </w:rPr>
      </w:pPr>
      <w:r>
        <w:rPr>
          <w:rFonts w:ascii="宋体" w:hAnsi="宋体" w:cs="宋体"/>
          <w:spacing w:val="10"/>
          <w:sz w:val="24"/>
          <w:szCs w:val="24"/>
        </w:rPr>
        <w:t>1</w:t>
      </w:r>
      <w:r>
        <w:rPr>
          <w:rFonts w:hint="eastAsia" w:ascii="宋体" w:hAnsi="宋体" w:cs="宋体"/>
          <w:spacing w:val="10"/>
          <w:sz w:val="24"/>
          <w:szCs w:val="24"/>
        </w:rPr>
        <w:t>、根据估价委托人提供</w:t>
      </w:r>
      <w:r>
        <w:rPr>
          <w:rFonts w:hint="eastAsia" w:ascii="宋体" w:hAnsi="宋体" w:cs="宋体"/>
          <w:sz w:val="24"/>
          <w:szCs w:val="24"/>
        </w:rPr>
        <w:t>的</w:t>
      </w:r>
      <w:r>
        <w:rPr>
          <w:rFonts w:hint="eastAsia" w:ascii="宋体" w:hAnsi="宋体" w:cs="宋体"/>
          <w:sz w:val="24"/>
          <w:szCs w:val="24"/>
          <w:lang w:eastAsia="zh-CN"/>
        </w:rPr>
        <w:t>房屋他项权证、房屋产权情况以及怀化高新技术产业开发区出具的房屋分户平面图</w:t>
      </w:r>
      <w:r>
        <w:rPr>
          <w:rFonts w:hint="eastAsia" w:ascii="宋体" w:hAnsi="宋体" w:cs="宋体"/>
          <w:sz w:val="24"/>
          <w:szCs w:val="24"/>
        </w:rPr>
        <w:t>：</w:t>
      </w:r>
      <w:r>
        <w:rPr>
          <w:rFonts w:hint="eastAsia" w:ascii="宋体" w:hAnsi="宋体" w:cs="宋体"/>
          <w:sz w:val="24"/>
          <w:szCs w:val="24"/>
          <w:lang w:val="en-US" w:eastAsia="zh-CN"/>
        </w:rPr>
        <w:t>01幢101号、02幢105号商业用房以及02幢305、306号住宅用房的房屋所有权人</w:t>
      </w:r>
      <w:r>
        <w:rPr>
          <w:rFonts w:hint="eastAsia" w:cs="宋体"/>
          <w:sz w:val="24"/>
          <w:szCs w:val="24"/>
        </w:rPr>
        <w:t>为</w:t>
      </w:r>
      <w:r>
        <w:rPr>
          <w:rFonts w:hint="eastAsia" w:cs="宋体"/>
          <w:sz w:val="24"/>
          <w:szCs w:val="24"/>
          <w:lang w:eastAsia="zh-CN"/>
        </w:rPr>
        <w:t>秦方；</w:t>
      </w:r>
      <w:r>
        <w:rPr>
          <w:rFonts w:hint="eastAsia" w:ascii="宋体" w:hAnsi="宋体" w:cs="宋体"/>
          <w:sz w:val="24"/>
          <w:szCs w:val="24"/>
          <w:lang w:val="en-US" w:eastAsia="zh-CN"/>
        </w:rPr>
        <w:t>02幢104号商业用房以及01幢305号</w:t>
      </w:r>
      <w:r>
        <w:rPr>
          <w:rFonts w:hint="eastAsia" w:cs="宋体"/>
          <w:sz w:val="24"/>
          <w:szCs w:val="24"/>
          <w:lang w:val="en-US" w:eastAsia="zh-CN"/>
        </w:rPr>
        <w:t>住宅用房的房屋所有权人为秦军</w:t>
      </w:r>
      <w:r>
        <w:rPr>
          <w:rFonts w:hint="eastAsia" w:cs="宋体"/>
          <w:sz w:val="24"/>
          <w:szCs w:val="24"/>
        </w:rPr>
        <w:t>。</w:t>
      </w:r>
    </w:p>
    <w:p>
      <w:pPr>
        <w:autoSpaceDE w:val="0"/>
        <w:autoSpaceDN w:val="0"/>
        <w:adjustRightInd w:val="0"/>
        <w:spacing w:line="360" w:lineRule="auto"/>
        <w:jc w:val="center"/>
        <w:rPr>
          <w:rFonts w:hint="eastAsia" w:ascii="宋体" w:hAnsi="宋体" w:cs="宋体"/>
          <w:b/>
          <w:bCs/>
          <w:spacing w:val="10"/>
          <w:sz w:val="24"/>
          <w:szCs w:val="24"/>
        </w:rPr>
      </w:pPr>
      <w:r>
        <w:rPr>
          <w:rFonts w:hint="eastAsia" w:ascii="宋体" w:hAnsi="宋体" w:cs="宋体"/>
          <w:b/>
          <w:bCs/>
          <w:spacing w:val="10"/>
          <w:sz w:val="24"/>
          <w:szCs w:val="24"/>
        </w:rPr>
        <w:t>房屋权益一览表</w:t>
      </w:r>
    </w:p>
    <w:p>
      <w:pPr>
        <w:widowControl/>
        <w:spacing w:line="360" w:lineRule="auto"/>
        <w:rPr>
          <w:rFonts w:hint="eastAsia" w:ascii="宋体" w:hAnsi="宋体" w:cs="宋体"/>
          <w:spacing w:val="10"/>
          <w:sz w:val="24"/>
          <w:szCs w:val="24"/>
          <w:lang w:eastAsia="zh-CN"/>
        </w:rPr>
      </w:pPr>
      <w:r>
        <w:rPr>
          <w:rFonts w:hint="eastAsia" w:ascii="宋体" w:hAnsi="宋体" w:cs="宋体"/>
          <w:spacing w:val="10"/>
          <w:sz w:val="24"/>
          <w:szCs w:val="24"/>
          <w:lang w:eastAsia="zh-CN"/>
        </w:rPr>
        <w:t>秦方所有房屋：</w:t>
      </w:r>
    </w:p>
    <w:tbl>
      <w:tblPr>
        <w:tblStyle w:val="40"/>
        <w:tblW w:w="8648" w:type="dxa"/>
        <w:jc w:val="center"/>
        <w:tblInd w:w="0" w:type="dxa"/>
        <w:tblLayout w:type="fixed"/>
        <w:tblCellMar>
          <w:top w:w="0" w:type="dxa"/>
          <w:left w:w="108" w:type="dxa"/>
          <w:bottom w:w="0" w:type="dxa"/>
          <w:right w:w="108" w:type="dxa"/>
        </w:tblCellMar>
      </w:tblPr>
      <w:tblGrid>
        <w:gridCol w:w="534"/>
        <w:gridCol w:w="1059"/>
        <w:gridCol w:w="755"/>
        <w:gridCol w:w="979"/>
        <w:gridCol w:w="624"/>
        <w:gridCol w:w="496"/>
        <w:gridCol w:w="855"/>
        <w:gridCol w:w="858"/>
        <w:gridCol w:w="1036"/>
        <w:gridCol w:w="726"/>
        <w:gridCol w:w="726"/>
      </w:tblGrid>
      <w:tr>
        <w:tblPrEx>
          <w:tblLayout w:type="fixed"/>
          <w:tblCellMar>
            <w:top w:w="0" w:type="dxa"/>
            <w:left w:w="108" w:type="dxa"/>
            <w:bottom w:w="0" w:type="dxa"/>
            <w:right w:w="108" w:type="dxa"/>
          </w:tblCellMar>
        </w:tblPrEx>
        <w:trPr>
          <w:trHeight w:val="480" w:hRule="atLeast"/>
          <w:jc w:val="center"/>
        </w:trPr>
        <w:tc>
          <w:tcPr>
            <w:tcW w:w="5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1059"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7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979"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624"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49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85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103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登记用途</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r>
      <w:tr>
        <w:tblPrEx>
          <w:tblLayout w:type="fixed"/>
          <w:tblCellMar>
            <w:top w:w="0" w:type="dxa"/>
            <w:left w:w="108" w:type="dxa"/>
            <w:bottom w:w="0" w:type="dxa"/>
            <w:right w:w="108" w:type="dxa"/>
          </w:tblCellMar>
        </w:tblPrEx>
        <w:trPr>
          <w:trHeight w:val="42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75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秦方</w:t>
            </w:r>
          </w:p>
        </w:tc>
        <w:tc>
          <w:tcPr>
            <w:tcW w:w="979"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101</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72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r>
      <w:tr>
        <w:tblPrEx>
          <w:tblLayout w:type="fixed"/>
          <w:tblCellMar>
            <w:top w:w="0" w:type="dxa"/>
            <w:left w:w="108" w:type="dxa"/>
            <w:bottom w:w="0" w:type="dxa"/>
            <w:right w:w="108" w:type="dxa"/>
          </w:tblCellMar>
        </w:tblPrEx>
        <w:trPr>
          <w:trHeight w:val="36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2</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75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979"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商业</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3</w:t>
            </w:r>
          </w:p>
        </w:tc>
        <w:tc>
          <w:tcPr>
            <w:tcW w:w="105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709000249</w:t>
            </w:r>
          </w:p>
        </w:tc>
        <w:tc>
          <w:tcPr>
            <w:tcW w:w="75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979"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val="en-US" w:eastAsia="zh-CN"/>
              </w:rPr>
            </w:pPr>
            <w:r>
              <w:rPr>
                <w:rFonts w:hint="eastAsia" w:ascii="宋体"/>
                <w:color w:val="000000"/>
                <w:kern w:val="0"/>
                <w:sz w:val="20"/>
                <w:szCs w:val="20"/>
                <w:lang w:val="en-US"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住宅</w:t>
            </w:r>
          </w:p>
        </w:tc>
      </w:tr>
      <w:tr>
        <w:tblPrEx>
          <w:tblLayout w:type="fixed"/>
          <w:tblCellMar>
            <w:top w:w="0" w:type="dxa"/>
            <w:left w:w="108" w:type="dxa"/>
            <w:bottom w:w="0" w:type="dxa"/>
            <w:right w:w="108" w:type="dxa"/>
          </w:tblCellMar>
        </w:tblPrEx>
        <w:trPr>
          <w:trHeight w:val="390"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4</w:t>
            </w:r>
          </w:p>
        </w:tc>
        <w:tc>
          <w:tcPr>
            <w:tcW w:w="1059"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color w:val="000000"/>
                <w:kern w:val="0"/>
                <w:sz w:val="20"/>
                <w:szCs w:val="20"/>
                <w:lang w:val="en-US" w:eastAsia="zh-CN"/>
              </w:rPr>
              <w:t>709000249</w:t>
            </w:r>
          </w:p>
        </w:tc>
        <w:tc>
          <w:tcPr>
            <w:tcW w:w="75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979"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496"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306</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96.53</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val="en-US" w:eastAsia="zh-CN"/>
              </w:rPr>
            </w:pPr>
            <w:r>
              <w:rPr>
                <w:rFonts w:hint="eastAsia" w:ascii="宋体"/>
                <w:color w:val="000000"/>
                <w:kern w:val="0"/>
                <w:sz w:val="20"/>
                <w:szCs w:val="20"/>
                <w:lang w:val="en-US" w:eastAsia="zh-CN"/>
              </w:rPr>
              <w:t>综合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r>
      <w:tr>
        <w:tblPrEx>
          <w:tblLayout w:type="fixed"/>
          <w:tblCellMar>
            <w:top w:w="0" w:type="dxa"/>
            <w:left w:w="108" w:type="dxa"/>
            <w:bottom w:w="0" w:type="dxa"/>
            <w:right w:w="108" w:type="dxa"/>
          </w:tblCellMar>
        </w:tblPrEx>
        <w:trPr>
          <w:trHeight w:val="375" w:hRule="atLeast"/>
          <w:jc w:val="center"/>
        </w:trPr>
        <w:tc>
          <w:tcPr>
            <w:tcW w:w="5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1059"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755"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979"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2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49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273.13</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r>
    </w:tbl>
    <w:p>
      <w:pPr>
        <w:widowControl/>
        <w:spacing w:line="360" w:lineRule="auto"/>
        <w:rPr>
          <w:rFonts w:hint="eastAsia" w:ascii="宋体" w:hAnsi="宋体" w:cs="宋体"/>
          <w:spacing w:val="10"/>
          <w:sz w:val="24"/>
          <w:szCs w:val="24"/>
          <w:lang w:eastAsia="zh-CN"/>
        </w:rPr>
      </w:pPr>
      <w:r>
        <w:rPr>
          <w:rFonts w:hint="eastAsia" w:ascii="宋体" w:hAnsi="宋体" w:cs="宋体"/>
          <w:spacing w:val="10"/>
          <w:sz w:val="24"/>
          <w:szCs w:val="24"/>
          <w:lang w:eastAsia="zh-CN"/>
        </w:rPr>
        <w:t>秦军所有房屋：</w:t>
      </w:r>
    </w:p>
    <w:tbl>
      <w:tblPr>
        <w:tblStyle w:val="40"/>
        <w:tblW w:w="8648" w:type="dxa"/>
        <w:jc w:val="center"/>
        <w:tblInd w:w="0" w:type="dxa"/>
        <w:tblLayout w:type="fixed"/>
        <w:tblCellMar>
          <w:top w:w="0" w:type="dxa"/>
          <w:left w:w="108" w:type="dxa"/>
          <w:bottom w:w="0" w:type="dxa"/>
          <w:right w:w="108" w:type="dxa"/>
        </w:tblCellMar>
      </w:tblPr>
      <w:tblGrid>
        <w:gridCol w:w="428"/>
        <w:gridCol w:w="1095"/>
        <w:gridCol w:w="750"/>
        <w:gridCol w:w="975"/>
        <w:gridCol w:w="645"/>
        <w:gridCol w:w="554"/>
        <w:gridCol w:w="855"/>
        <w:gridCol w:w="858"/>
        <w:gridCol w:w="1036"/>
        <w:gridCol w:w="726"/>
        <w:gridCol w:w="726"/>
      </w:tblGrid>
      <w:tr>
        <w:tblPrEx>
          <w:tblLayout w:type="fixed"/>
          <w:tblCellMar>
            <w:top w:w="0" w:type="dxa"/>
            <w:left w:w="108" w:type="dxa"/>
            <w:bottom w:w="0" w:type="dxa"/>
            <w:right w:w="108" w:type="dxa"/>
          </w:tblCellMar>
        </w:tblPrEx>
        <w:trPr>
          <w:trHeight w:val="480" w:hRule="atLeast"/>
          <w:jc w:val="center"/>
        </w:trPr>
        <w:tc>
          <w:tcPr>
            <w:tcW w:w="42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109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750"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97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64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554"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85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103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登记用途</w:t>
            </w:r>
          </w:p>
        </w:tc>
        <w:tc>
          <w:tcPr>
            <w:tcW w:w="726"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r>
      <w:tr>
        <w:tblPrEx>
          <w:tblLayout w:type="fixed"/>
          <w:tblCellMar>
            <w:top w:w="0" w:type="dxa"/>
            <w:left w:w="108" w:type="dxa"/>
            <w:bottom w:w="0" w:type="dxa"/>
            <w:right w:w="108" w:type="dxa"/>
          </w:tblCellMar>
        </w:tblPrEx>
        <w:trPr>
          <w:trHeight w:val="330" w:hRule="atLeast"/>
          <w:jc w:val="center"/>
        </w:trPr>
        <w:tc>
          <w:tcPr>
            <w:tcW w:w="42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1</w:t>
            </w:r>
          </w:p>
        </w:tc>
        <w:tc>
          <w:tcPr>
            <w:tcW w:w="109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714000060</w:t>
            </w:r>
          </w:p>
        </w:tc>
        <w:tc>
          <w:tcPr>
            <w:tcW w:w="750"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975" w:type="dxa"/>
            <w:vMerge w:val="restart"/>
            <w:tcBorders>
              <w:top w:val="nil"/>
              <w:left w:val="single" w:color="auto" w:sz="4" w:space="0"/>
              <w:right w:val="single" w:color="auto" w:sz="4" w:space="0"/>
            </w:tcBorders>
            <w:noWrap w:val="0"/>
            <w:vAlign w:val="center"/>
          </w:tcPr>
          <w:p>
            <w:pPr>
              <w:widowControl/>
              <w:jc w:val="left"/>
              <w:rPr>
                <w:rFonts w:ascii="宋体"/>
                <w:color w:val="000000"/>
                <w:kern w:val="0"/>
                <w:sz w:val="20"/>
                <w:szCs w:val="20"/>
              </w:rPr>
            </w:pPr>
            <w:r>
              <w:rPr>
                <w:rFonts w:hint="eastAsia" w:ascii="宋体" w:hAnsi="宋体" w:cs="宋体"/>
                <w:color w:val="000000"/>
                <w:kern w:val="0"/>
                <w:sz w:val="20"/>
                <w:szCs w:val="20"/>
                <w:lang w:eastAsia="zh-CN"/>
              </w:rPr>
              <w:t>湖南怀化工业园区和安家园南区</w:t>
            </w:r>
          </w:p>
        </w:tc>
        <w:tc>
          <w:tcPr>
            <w:tcW w:w="64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54"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104</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726"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r>
      <w:tr>
        <w:tblPrEx>
          <w:tblLayout w:type="fixed"/>
          <w:tblCellMar>
            <w:top w:w="0" w:type="dxa"/>
            <w:left w:w="108" w:type="dxa"/>
            <w:bottom w:w="0" w:type="dxa"/>
            <w:right w:w="108" w:type="dxa"/>
          </w:tblCellMar>
        </w:tblPrEx>
        <w:trPr>
          <w:trHeight w:val="375" w:hRule="atLeast"/>
          <w:jc w:val="center"/>
        </w:trPr>
        <w:tc>
          <w:tcPr>
            <w:tcW w:w="428"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2</w:t>
            </w:r>
          </w:p>
        </w:tc>
        <w:tc>
          <w:tcPr>
            <w:tcW w:w="109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714000061</w:t>
            </w:r>
          </w:p>
        </w:tc>
        <w:tc>
          <w:tcPr>
            <w:tcW w:w="750"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9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4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554"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住宅</w:t>
            </w: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r>
      <w:tr>
        <w:tblPrEx>
          <w:tblLayout w:type="fixed"/>
          <w:tblCellMar>
            <w:top w:w="0" w:type="dxa"/>
            <w:left w:w="108" w:type="dxa"/>
            <w:bottom w:w="0" w:type="dxa"/>
            <w:right w:w="108" w:type="dxa"/>
          </w:tblCellMar>
        </w:tblPrEx>
        <w:trPr>
          <w:trHeight w:val="375" w:hRule="atLeast"/>
          <w:jc w:val="center"/>
        </w:trPr>
        <w:tc>
          <w:tcPr>
            <w:tcW w:w="428"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109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750"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975"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4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554"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136.51</w:t>
            </w:r>
          </w:p>
        </w:tc>
        <w:tc>
          <w:tcPr>
            <w:tcW w:w="103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26"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r>
    </w:tbl>
    <w:p>
      <w:pPr>
        <w:numPr>
          <w:ilvl w:val="0"/>
          <w:numId w:val="7"/>
        </w:numPr>
        <w:autoSpaceDE w:val="0"/>
        <w:autoSpaceDN w:val="0"/>
        <w:adjustRightInd w:val="0"/>
        <w:spacing w:line="440" w:lineRule="exact"/>
        <w:ind w:firstLine="520" w:firstLineChars="200"/>
        <w:rPr>
          <w:rFonts w:hint="eastAsia" w:ascii="宋体" w:hAnsi="宋体" w:cs="宋体"/>
          <w:spacing w:val="10"/>
          <w:sz w:val="24"/>
          <w:szCs w:val="24"/>
          <w:lang w:eastAsia="zh-CN"/>
        </w:rPr>
      </w:pPr>
      <w:r>
        <w:rPr>
          <w:rFonts w:hint="eastAsia" w:ascii="宋体" w:hAnsi="宋体" w:cs="宋体"/>
          <w:spacing w:val="10"/>
          <w:sz w:val="24"/>
          <w:szCs w:val="24"/>
          <w:lang w:eastAsia="zh-CN"/>
        </w:rPr>
        <w:t>根据委托人提供的房屋他项权证所示如下：</w:t>
      </w:r>
    </w:p>
    <w:p>
      <w:pPr>
        <w:numPr>
          <w:ilvl w:val="0"/>
          <w:numId w:val="0"/>
        </w:numPr>
        <w:autoSpaceDE w:val="0"/>
        <w:autoSpaceDN w:val="0"/>
        <w:adjustRightInd w:val="0"/>
        <w:spacing w:line="440" w:lineRule="exact"/>
        <w:rPr>
          <w:rFonts w:hint="eastAsia" w:ascii="宋体" w:hAnsi="宋体" w:cs="宋体"/>
          <w:spacing w:val="10"/>
          <w:sz w:val="24"/>
          <w:szCs w:val="24"/>
          <w:lang w:eastAsia="zh-CN"/>
        </w:rPr>
      </w:pPr>
      <w:r>
        <w:rPr>
          <w:rFonts w:hint="eastAsia" w:ascii="宋体" w:hAnsi="宋体" w:cs="宋体"/>
          <w:spacing w:val="10"/>
          <w:sz w:val="24"/>
          <w:szCs w:val="24"/>
          <w:lang w:eastAsia="zh-CN"/>
        </w:rPr>
        <w:t>秦方所有房屋：</w:t>
      </w:r>
    </w:p>
    <w:tbl>
      <w:tblPr>
        <w:tblStyle w:val="40"/>
        <w:tblW w:w="8440" w:type="dxa"/>
        <w:tblInd w:w="0" w:type="dxa"/>
        <w:tblLayout w:type="fixed"/>
        <w:tblCellMar>
          <w:top w:w="0" w:type="dxa"/>
          <w:left w:w="0" w:type="dxa"/>
          <w:bottom w:w="0" w:type="dxa"/>
          <w:right w:w="0" w:type="dxa"/>
        </w:tblCellMar>
      </w:tblPr>
      <w:tblGrid>
        <w:gridCol w:w="860"/>
        <w:gridCol w:w="851"/>
        <w:gridCol w:w="853"/>
        <w:gridCol w:w="852"/>
        <w:gridCol w:w="853"/>
        <w:gridCol w:w="930"/>
        <w:gridCol w:w="853"/>
        <w:gridCol w:w="852"/>
        <w:gridCol w:w="1536"/>
      </w:tblGrid>
      <w:tr>
        <w:tblPrEx>
          <w:tblLayout w:type="fixed"/>
          <w:tblCellMar>
            <w:top w:w="0" w:type="dxa"/>
            <w:left w:w="0" w:type="dxa"/>
            <w:bottom w:w="0" w:type="dxa"/>
            <w:right w:w="0" w:type="dxa"/>
          </w:tblCellMar>
        </w:tblPrEx>
        <w:trPr>
          <w:trHeight w:val="495" w:hRule="atLeast"/>
        </w:trPr>
        <w:tc>
          <w:tcPr>
            <w:tcW w:w="860"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851"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栋号</w:t>
            </w:r>
          </w:p>
        </w:tc>
        <w:tc>
          <w:tcPr>
            <w:tcW w:w="853"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房号</w:t>
            </w:r>
          </w:p>
        </w:tc>
        <w:tc>
          <w:tcPr>
            <w:tcW w:w="85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房屋他项权利人</w:t>
            </w:r>
          </w:p>
        </w:tc>
        <w:tc>
          <w:tcPr>
            <w:tcW w:w="853"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房屋所有权人</w:t>
            </w:r>
          </w:p>
        </w:tc>
        <w:tc>
          <w:tcPr>
            <w:tcW w:w="93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所有权证号</w:t>
            </w:r>
          </w:p>
        </w:tc>
        <w:tc>
          <w:tcPr>
            <w:tcW w:w="853"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坐落</w:t>
            </w:r>
          </w:p>
        </w:tc>
        <w:tc>
          <w:tcPr>
            <w:tcW w:w="852"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他项权利种类</w:t>
            </w:r>
          </w:p>
        </w:tc>
        <w:tc>
          <w:tcPr>
            <w:tcW w:w="1536"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附记</w:t>
            </w:r>
          </w:p>
        </w:tc>
      </w:tr>
      <w:tr>
        <w:tblPrEx>
          <w:tblLayout w:type="fixed"/>
          <w:tblCellMar>
            <w:top w:w="0" w:type="dxa"/>
            <w:left w:w="0" w:type="dxa"/>
            <w:bottom w:w="0" w:type="dxa"/>
            <w:right w:w="0" w:type="dxa"/>
          </w:tblCellMar>
        </w:tblPrEx>
        <w:trPr>
          <w:trHeight w:val="735" w:hRule="atLeast"/>
        </w:trPr>
        <w:tc>
          <w:tcPr>
            <w:tcW w:w="860"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1"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01幢</w:t>
            </w:r>
          </w:p>
        </w:tc>
        <w:tc>
          <w:tcPr>
            <w:tcW w:w="85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101</w:t>
            </w:r>
          </w:p>
        </w:tc>
        <w:tc>
          <w:tcPr>
            <w:tcW w:w="852" w:type="dxa"/>
            <w:vMerge w:val="restar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谢春华</w:t>
            </w:r>
          </w:p>
        </w:tc>
        <w:tc>
          <w:tcPr>
            <w:tcW w:w="853" w:type="dxa"/>
            <w:vMerge w:val="restar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秦方</w:t>
            </w:r>
          </w:p>
        </w:tc>
        <w:tc>
          <w:tcPr>
            <w:tcW w:w="930" w:type="dxa"/>
            <w:vMerge w:val="restar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709000248</w:t>
            </w:r>
          </w:p>
        </w:tc>
        <w:tc>
          <w:tcPr>
            <w:tcW w:w="85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湖南怀化工业园区和安家园南区</w:t>
            </w:r>
          </w:p>
        </w:tc>
        <w:tc>
          <w:tcPr>
            <w:tcW w:w="85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抵押权</w:t>
            </w:r>
          </w:p>
        </w:tc>
        <w:tc>
          <w:tcPr>
            <w:tcW w:w="1536" w:type="dxa"/>
            <w:vMerge w:val="restart"/>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抵押方式：联合抵押；权利价值：80万元，债权数额：80万元；合同号：（234）抵字[8]第18号；债务人：秦方；抵押期限为014/06/19至2014/11/19，部位性质：几套；抵押户室：101、105、305、306</w:t>
            </w:r>
          </w:p>
        </w:tc>
      </w:tr>
      <w:tr>
        <w:tblPrEx>
          <w:tblLayout w:type="fixed"/>
          <w:tblCellMar>
            <w:top w:w="0" w:type="dxa"/>
            <w:left w:w="0" w:type="dxa"/>
            <w:bottom w:w="0" w:type="dxa"/>
            <w:right w:w="0" w:type="dxa"/>
          </w:tblCellMar>
        </w:tblPrEx>
        <w:trPr>
          <w:trHeight w:val="735" w:hRule="atLeast"/>
        </w:trPr>
        <w:tc>
          <w:tcPr>
            <w:tcW w:w="860"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1"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02幢</w:t>
            </w:r>
          </w:p>
        </w:tc>
        <w:tc>
          <w:tcPr>
            <w:tcW w:w="85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105</w:t>
            </w:r>
          </w:p>
        </w:tc>
        <w:tc>
          <w:tcPr>
            <w:tcW w:w="852"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3"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30"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湖南怀化工业园区和安家园南区</w:t>
            </w:r>
          </w:p>
        </w:tc>
        <w:tc>
          <w:tcPr>
            <w:tcW w:w="85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抵押权</w:t>
            </w:r>
          </w:p>
        </w:tc>
        <w:tc>
          <w:tcPr>
            <w:tcW w:w="1536"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735" w:hRule="atLeast"/>
        </w:trPr>
        <w:tc>
          <w:tcPr>
            <w:tcW w:w="860"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851"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02幢</w:t>
            </w:r>
          </w:p>
        </w:tc>
        <w:tc>
          <w:tcPr>
            <w:tcW w:w="85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305</w:t>
            </w:r>
          </w:p>
        </w:tc>
        <w:tc>
          <w:tcPr>
            <w:tcW w:w="852"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3"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30" w:type="dxa"/>
            <w:vMerge w:val="restart"/>
            <w:tcBorders>
              <w:top w:val="nil"/>
              <w:left w:val="nil"/>
              <w:bottom w:val="single" w:color="000000" w:sz="8" w:space="0"/>
              <w:right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709000249</w:t>
            </w:r>
          </w:p>
        </w:tc>
        <w:tc>
          <w:tcPr>
            <w:tcW w:w="85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湖南怀化工业园区和安家园南区</w:t>
            </w:r>
          </w:p>
        </w:tc>
        <w:tc>
          <w:tcPr>
            <w:tcW w:w="85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抵押权</w:t>
            </w:r>
          </w:p>
        </w:tc>
        <w:tc>
          <w:tcPr>
            <w:tcW w:w="1536"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735" w:hRule="atLeast"/>
        </w:trPr>
        <w:tc>
          <w:tcPr>
            <w:tcW w:w="860" w:type="dxa"/>
            <w:tcBorders>
              <w:top w:val="nil"/>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851"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02幢</w:t>
            </w:r>
          </w:p>
        </w:tc>
        <w:tc>
          <w:tcPr>
            <w:tcW w:w="85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306</w:t>
            </w:r>
          </w:p>
        </w:tc>
        <w:tc>
          <w:tcPr>
            <w:tcW w:w="852"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3"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30" w:type="dxa"/>
            <w:vMerge w:val="continue"/>
            <w:tcBorders>
              <w:top w:val="nil"/>
              <w:left w:val="nil"/>
              <w:bottom w:val="single" w:color="000000" w:sz="8" w:space="0"/>
              <w:right w:val="nil"/>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53"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湖南怀化工业园区和安家园南区</w:t>
            </w:r>
          </w:p>
        </w:tc>
        <w:tc>
          <w:tcPr>
            <w:tcW w:w="852" w:type="dxa"/>
            <w:tcBorders>
              <w:top w:val="nil"/>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抵押权</w:t>
            </w:r>
          </w:p>
        </w:tc>
        <w:tc>
          <w:tcPr>
            <w:tcW w:w="1536" w:type="dxa"/>
            <w:vMerge w:val="continue"/>
            <w:tcBorders>
              <w:top w:val="nil"/>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numPr>
          <w:ilvl w:val="0"/>
          <w:numId w:val="0"/>
        </w:numPr>
        <w:autoSpaceDE w:val="0"/>
        <w:autoSpaceDN w:val="0"/>
        <w:adjustRightInd w:val="0"/>
        <w:spacing w:line="440" w:lineRule="exact"/>
        <w:rPr>
          <w:rFonts w:hint="eastAsia" w:ascii="宋体" w:hAnsi="宋体" w:cs="宋体"/>
          <w:spacing w:val="10"/>
          <w:sz w:val="24"/>
          <w:szCs w:val="24"/>
          <w:lang w:eastAsia="zh-CN"/>
        </w:rPr>
      </w:pPr>
      <w:r>
        <w:rPr>
          <w:rFonts w:hint="eastAsia" w:ascii="宋体" w:hAnsi="宋体" w:cs="宋体"/>
          <w:spacing w:val="10"/>
          <w:sz w:val="24"/>
          <w:szCs w:val="24"/>
          <w:lang w:eastAsia="zh-CN"/>
        </w:rPr>
        <w:t>秦军所有房屋：</w:t>
      </w:r>
    </w:p>
    <w:tbl>
      <w:tblPr>
        <w:tblStyle w:val="40"/>
        <w:tblW w:w="8440" w:type="dxa"/>
        <w:tblInd w:w="0" w:type="dxa"/>
        <w:tblLayout w:type="fixed"/>
        <w:tblCellMar>
          <w:top w:w="0" w:type="dxa"/>
          <w:left w:w="0" w:type="dxa"/>
          <w:bottom w:w="0" w:type="dxa"/>
          <w:right w:w="0" w:type="dxa"/>
        </w:tblCellMar>
      </w:tblPr>
      <w:tblGrid>
        <w:gridCol w:w="763"/>
        <w:gridCol w:w="745"/>
        <w:gridCol w:w="748"/>
        <w:gridCol w:w="745"/>
        <w:gridCol w:w="745"/>
        <w:gridCol w:w="930"/>
        <w:gridCol w:w="745"/>
        <w:gridCol w:w="745"/>
        <w:gridCol w:w="2274"/>
      </w:tblGrid>
      <w:tr>
        <w:tblPrEx>
          <w:tblLayout w:type="fixed"/>
          <w:tblCellMar>
            <w:top w:w="0" w:type="dxa"/>
            <w:left w:w="0" w:type="dxa"/>
            <w:bottom w:w="0" w:type="dxa"/>
            <w:right w:w="0" w:type="dxa"/>
          </w:tblCellMar>
        </w:tblPrEx>
        <w:trPr>
          <w:trHeight w:val="495" w:hRule="atLeast"/>
        </w:trPr>
        <w:tc>
          <w:tcPr>
            <w:tcW w:w="763" w:type="dxa"/>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栋号</w:t>
            </w:r>
          </w:p>
        </w:tc>
        <w:tc>
          <w:tcPr>
            <w:tcW w:w="74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房号</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房屋他项权利人</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房屋所有权人</w:t>
            </w:r>
          </w:p>
        </w:tc>
        <w:tc>
          <w:tcPr>
            <w:tcW w:w="93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所有权证号</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坐落</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他项权利种类</w:t>
            </w:r>
          </w:p>
        </w:tc>
        <w:tc>
          <w:tcPr>
            <w:tcW w:w="2274"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附记</w:t>
            </w:r>
          </w:p>
        </w:tc>
      </w:tr>
      <w:tr>
        <w:tblPrEx>
          <w:tblLayout w:type="fixed"/>
          <w:tblCellMar>
            <w:top w:w="0" w:type="dxa"/>
            <w:left w:w="0" w:type="dxa"/>
            <w:bottom w:w="0" w:type="dxa"/>
            <w:right w:w="0" w:type="dxa"/>
          </w:tblCellMar>
        </w:tblPrEx>
        <w:trPr>
          <w:trHeight w:val="735" w:hRule="atLeast"/>
        </w:trPr>
        <w:tc>
          <w:tcPr>
            <w:tcW w:w="7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45"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02幢</w:t>
            </w:r>
          </w:p>
        </w:tc>
        <w:tc>
          <w:tcPr>
            <w:tcW w:w="74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104</w:t>
            </w:r>
          </w:p>
        </w:tc>
        <w:tc>
          <w:tcPr>
            <w:tcW w:w="745"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谢春华</w:t>
            </w:r>
          </w:p>
        </w:tc>
        <w:tc>
          <w:tcPr>
            <w:tcW w:w="745"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秦军</w:t>
            </w:r>
          </w:p>
        </w:tc>
        <w:tc>
          <w:tcPr>
            <w:tcW w:w="93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714000060</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湖南怀化工业园区和安家园南区</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抵押权</w:t>
            </w:r>
          </w:p>
        </w:tc>
        <w:tc>
          <w:tcPr>
            <w:tcW w:w="2274"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抵押方式：联合抵押；权利价值：31万元，债权数额：31万元；合同号：（234）抵字[8]第18号；债务人：秦方；抵押期限为014/06/19至2014/11/19，部位性质：几套；抵押户室：104、305</w:t>
            </w:r>
          </w:p>
        </w:tc>
      </w:tr>
      <w:tr>
        <w:tblPrEx>
          <w:tblLayout w:type="fixed"/>
          <w:tblCellMar>
            <w:top w:w="0" w:type="dxa"/>
            <w:left w:w="0" w:type="dxa"/>
            <w:bottom w:w="0" w:type="dxa"/>
            <w:right w:w="0" w:type="dxa"/>
          </w:tblCellMar>
        </w:tblPrEx>
        <w:trPr>
          <w:trHeight w:val="735" w:hRule="atLeast"/>
        </w:trPr>
        <w:tc>
          <w:tcPr>
            <w:tcW w:w="763" w:type="dxa"/>
            <w:tcBorders>
              <w:top w:val="single" w:color="000000" w:sz="8" w:space="0"/>
              <w:left w:val="single" w:color="000000" w:sz="8" w:space="0"/>
              <w:bottom w:val="single" w:color="000000" w:sz="8" w:space="0"/>
              <w:right w:val="single" w:color="000000" w:sz="8"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45"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8"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305</w:t>
            </w:r>
          </w:p>
        </w:tc>
        <w:tc>
          <w:tcPr>
            <w:tcW w:w="745"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30"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714000061</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湖南怀化工业园区和安家园南区</w:t>
            </w:r>
          </w:p>
        </w:tc>
        <w:tc>
          <w:tcPr>
            <w:tcW w:w="745" w:type="dxa"/>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抵押权</w:t>
            </w:r>
          </w:p>
        </w:tc>
        <w:tc>
          <w:tcPr>
            <w:tcW w:w="2274"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bl>
    <w:p>
      <w:pPr>
        <w:widowControl/>
        <w:spacing w:line="440" w:lineRule="exact"/>
        <w:ind w:firstLine="480" w:firstLineChars="200"/>
        <w:rPr>
          <w:rFonts w:ascii="宋体"/>
          <w:kern w:val="0"/>
          <w:sz w:val="24"/>
          <w:szCs w:val="24"/>
        </w:rPr>
      </w:pPr>
      <w:r>
        <w:rPr>
          <w:rFonts w:hint="eastAsia" w:ascii="宋体" w:hAnsi="宋体" w:cs="宋体"/>
          <w:kern w:val="0"/>
          <w:sz w:val="24"/>
          <w:szCs w:val="24"/>
        </w:rPr>
        <w:t>综上所述，</w:t>
      </w:r>
      <w:r>
        <w:rPr>
          <w:rFonts w:hint="eastAsia" w:ascii="宋体" w:hAnsi="宋体" w:cs="宋体"/>
          <w:kern w:val="0"/>
          <w:sz w:val="24"/>
          <w:szCs w:val="24"/>
          <w:lang w:eastAsia="zh-CN"/>
        </w:rPr>
        <w:t>委托人未提供</w:t>
      </w:r>
      <w:r>
        <w:rPr>
          <w:rFonts w:hint="eastAsia" w:ascii="宋体" w:hAnsi="宋体" w:cs="宋体"/>
          <w:kern w:val="0"/>
          <w:sz w:val="24"/>
          <w:szCs w:val="24"/>
        </w:rPr>
        <w:t>估价对象不动产权证，本次评估以估价对象能取得完整有效的合法产权为估价前提，</w:t>
      </w:r>
      <w:r>
        <w:rPr>
          <w:rFonts w:hint="eastAsia" w:ascii="宋体" w:hAnsi="宋体" w:cs="宋体"/>
          <w:bCs/>
          <w:spacing w:val="10"/>
          <w:sz w:val="24"/>
          <w:szCs w:val="24"/>
        </w:rPr>
        <w:t>根据估价人员调查获悉，估价对象已设定他项权利。</w:t>
      </w:r>
    </w:p>
    <w:p>
      <w:pPr>
        <w:spacing w:line="360" w:lineRule="auto"/>
        <w:rPr>
          <w:b/>
          <w:bCs/>
          <w:sz w:val="24"/>
          <w:szCs w:val="24"/>
        </w:rPr>
      </w:pPr>
      <w:r>
        <w:rPr>
          <w:rFonts w:hint="eastAsia" w:cs="宋体"/>
          <w:b/>
          <w:bCs/>
          <w:sz w:val="24"/>
          <w:szCs w:val="24"/>
        </w:rPr>
        <w:t>二、市场背景描述与分析</w:t>
      </w:r>
    </w:p>
    <w:p>
      <w:pPr>
        <w:widowControl/>
        <w:spacing w:line="440" w:lineRule="exact"/>
        <w:ind w:firstLine="522" w:firstLineChars="200"/>
        <w:rPr>
          <w:rFonts w:ascii="宋体"/>
          <w:b/>
          <w:bCs/>
          <w:spacing w:val="10"/>
          <w:sz w:val="24"/>
          <w:szCs w:val="24"/>
        </w:rPr>
      </w:pPr>
      <w:r>
        <w:rPr>
          <w:rFonts w:hint="eastAsia" w:ascii="宋体" w:hAnsi="宋体" w:cs="宋体"/>
          <w:b/>
          <w:bCs/>
          <w:spacing w:val="10"/>
          <w:sz w:val="24"/>
          <w:szCs w:val="24"/>
        </w:rPr>
        <w:t>一、</w:t>
      </w:r>
      <w:r>
        <w:rPr>
          <w:rFonts w:ascii="宋体" w:hAnsi="宋体" w:cs="宋体"/>
          <w:b/>
          <w:bCs/>
          <w:spacing w:val="10"/>
          <w:sz w:val="24"/>
          <w:szCs w:val="24"/>
        </w:rPr>
        <w:t>201</w:t>
      </w:r>
      <w:r>
        <w:rPr>
          <w:rFonts w:hint="eastAsia" w:ascii="宋体" w:hAnsi="宋体" w:cs="宋体"/>
          <w:b/>
          <w:bCs/>
          <w:spacing w:val="10"/>
          <w:sz w:val="24"/>
          <w:szCs w:val="24"/>
        </w:rPr>
        <w:t>7年上半年全市房地产市场基本情况</w:t>
      </w:r>
    </w:p>
    <w:p>
      <w:pPr>
        <w:widowControl/>
        <w:spacing w:line="440" w:lineRule="exact"/>
        <w:ind w:firstLine="520" w:firstLineChars="200"/>
        <w:rPr>
          <w:rFonts w:ascii="宋体"/>
          <w:spacing w:val="10"/>
          <w:sz w:val="24"/>
          <w:szCs w:val="24"/>
        </w:rPr>
      </w:pPr>
      <w:r>
        <w:rPr>
          <w:rFonts w:ascii="宋体" w:hAnsi="宋体" w:cs="宋体"/>
          <w:spacing w:val="10"/>
          <w:sz w:val="24"/>
          <w:szCs w:val="24"/>
        </w:rPr>
        <w:t>1-6</w:t>
      </w:r>
      <w:r>
        <w:rPr>
          <w:rFonts w:hint="eastAsia" w:ascii="宋体" w:hAnsi="宋体" w:cs="宋体"/>
          <w:spacing w:val="10"/>
          <w:sz w:val="24"/>
          <w:szCs w:val="24"/>
        </w:rPr>
        <w:t>月怀化市房地产投资、商品房销售保持增长态势，商品房库存持续高增长的情况得以缓解。</w:t>
      </w:r>
    </w:p>
    <w:p>
      <w:pPr>
        <w:widowControl/>
        <w:spacing w:line="440" w:lineRule="exact"/>
        <w:ind w:firstLine="391" w:firstLineChars="150"/>
        <w:rPr>
          <w:rFonts w:ascii="宋体"/>
          <w:b/>
          <w:bCs/>
          <w:spacing w:val="10"/>
          <w:sz w:val="24"/>
          <w:szCs w:val="24"/>
        </w:rPr>
      </w:pPr>
      <w:r>
        <w:rPr>
          <w:rFonts w:ascii="宋体" w:hAnsi="宋体" w:cs="宋体"/>
          <w:b/>
          <w:bCs/>
          <w:spacing w:val="10"/>
          <w:sz w:val="24"/>
          <w:szCs w:val="24"/>
        </w:rPr>
        <w:t>(</w:t>
      </w:r>
      <w:r>
        <w:rPr>
          <w:rFonts w:hint="eastAsia" w:ascii="宋体" w:hAnsi="宋体" w:cs="宋体"/>
          <w:b/>
          <w:bCs/>
          <w:spacing w:val="10"/>
          <w:sz w:val="24"/>
          <w:szCs w:val="24"/>
        </w:rPr>
        <w:t>一）房地产开发投资扭转一季度下降局面，呈低位增长态势</w:t>
      </w:r>
    </w:p>
    <w:p>
      <w:pPr>
        <w:widowControl/>
        <w:spacing w:line="440" w:lineRule="exact"/>
        <w:ind w:firstLine="390" w:firstLineChars="150"/>
        <w:rPr>
          <w:rFonts w:ascii="Tahoma" w:hAnsi="Tahoma" w:cs="Tahoma"/>
          <w:color w:val="000000"/>
          <w:kern w:val="0"/>
          <w:sz w:val="24"/>
          <w:szCs w:val="24"/>
          <w:shd w:val="clear" w:color="auto" w:fill="FFFFFF"/>
        </w:rPr>
      </w:pPr>
      <w:r>
        <w:rPr>
          <w:rFonts w:ascii="宋体" w:hAnsi="宋体" w:cs="宋体"/>
          <w:spacing w:val="10"/>
          <w:sz w:val="24"/>
          <w:szCs w:val="24"/>
        </w:rPr>
        <w:t>201</w:t>
      </w:r>
      <w:r>
        <w:rPr>
          <w:rFonts w:hint="eastAsia" w:ascii="宋体" w:hAnsi="宋体" w:cs="宋体"/>
          <w:spacing w:val="10"/>
          <w:sz w:val="24"/>
          <w:szCs w:val="24"/>
        </w:rPr>
        <w:t>7年</w:t>
      </w:r>
      <w:r>
        <w:rPr>
          <w:rFonts w:ascii="宋体" w:hAnsi="宋体" w:cs="宋体"/>
          <w:spacing w:val="10"/>
          <w:sz w:val="24"/>
          <w:szCs w:val="24"/>
        </w:rPr>
        <w:t>1-6</w:t>
      </w:r>
      <w:r>
        <w:rPr>
          <w:rFonts w:hint="eastAsia" w:ascii="宋体" w:hAnsi="宋体" w:cs="宋体"/>
          <w:spacing w:val="10"/>
          <w:sz w:val="24"/>
          <w:szCs w:val="24"/>
        </w:rPr>
        <w:t>月，怀化市完成房地产开发投资</w:t>
      </w:r>
      <w:r>
        <w:rPr>
          <w:rFonts w:ascii="宋体" w:hAnsi="宋体" w:cs="宋体"/>
          <w:spacing w:val="10"/>
          <w:sz w:val="24"/>
          <w:szCs w:val="24"/>
        </w:rPr>
        <w:t>53.03</w:t>
      </w:r>
      <w:r>
        <w:rPr>
          <w:rFonts w:hint="eastAsia" w:ascii="宋体" w:hAnsi="宋体" w:cs="宋体"/>
          <w:spacing w:val="10"/>
          <w:sz w:val="24"/>
          <w:szCs w:val="24"/>
        </w:rPr>
        <w:t>亿元，同比增长</w:t>
      </w:r>
      <w:r>
        <w:rPr>
          <w:rFonts w:ascii="宋体" w:hAnsi="宋体" w:cs="宋体"/>
          <w:spacing w:val="10"/>
          <w:sz w:val="24"/>
          <w:szCs w:val="24"/>
        </w:rPr>
        <w:t>3.05%</w:t>
      </w:r>
      <w:r>
        <w:rPr>
          <w:rFonts w:hint="eastAsia" w:ascii="宋体" w:hAnsi="宋体" w:cs="宋体"/>
          <w:spacing w:val="10"/>
          <w:sz w:val="24"/>
          <w:szCs w:val="24"/>
        </w:rPr>
        <w:t>，增速较上年同期下降</w:t>
      </w:r>
      <w:r>
        <w:rPr>
          <w:rFonts w:ascii="宋体" w:hAnsi="宋体" w:cs="宋体"/>
          <w:spacing w:val="10"/>
          <w:sz w:val="24"/>
          <w:szCs w:val="24"/>
        </w:rPr>
        <w:t>8.27</w:t>
      </w:r>
      <w:r>
        <w:rPr>
          <w:rFonts w:hint="eastAsia" w:ascii="宋体" w:hAnsi="宋体" w:cs="宋体"/>
          <w:spacing w:val="10"/>
          <w:sz w:val="24"/>
          <w:szCs w:val="24"/>
        </w:rPr>
        <w:t>个百分点。从投资结构</w:t>
      </w:r>
      <w:r>
        <w:rPr>
          <w:rFonts w:hint="eastAsia" w:ascii="宋体" w:hAnsi="宋体" w:cs="宋体"/>
          <w:color w:val="000000"/>
          <w:kern w:val="0"/>
          <w:sz w:val="24"/>
          <w:szCs w:val="24"/>
          <w:shd w:val="clear" w:color="auto" w:fill="FFFFFF"/>
        </w:rPr>
        <w:t>看，其中住宅完成投资</w:t>
      </w:r>
      <w:r>
        <w:rPr>
          <w:rFonts w:ascii="Tahoma" w:hAnsi="Tahoma" w:cs="Tahoma"/>
          <w:color w:val="000000"/>
          <w:kern w:val="0"/>
          <w:sz w:val="24"/>
          <w:szCs w:val="24"/>
          <w:shd w:val="clear" w:color="auto" w:fill="FFFFFF"/>
        </w:rPr>
        <w:t>39.61</w:t>
      </w:r>
      <w:r>
        <w:rPr>
          <w:rFonts w:hint="eastAsia" w:ascii="宋体" w:hAnsi="宋体" w:cs="宋体"/>
          <w:color w:val="000000"/>
          <w:kern w:val="0"/>
          <w:sz w:val="24"/>
          <w:szCs w:val="24"/>
          <w:shd w:val="clear" w:color="auto" w:fill="FFFFFF"/>
        </w:rPr>
        <w:t>亿元，占全市房地产开发总投资的</w:t>
      </w:r>
      <w:r>
        <w:rPr>
          <w:rFonts w:ascii="Tahoma" w:hAnsi="Tahoma" w:cs="Tahoma"/>
          <w:color w:val="000000"/>
          <w:kern w:val="0"/>
          <w:sz w:val="24"/>
          <w:szCs w:val="24"/>
          <w:shd w:val="clear" w:color="auto" w:fill="FFFFFF"/>
        </w:rPr>
        <w:t>74.69%</w:t>
      </w:r>
      <w:r>
        <w:rPr>
          <w:rFonts w:hint="eastAsia" w:ascii="宋体" w:hAnsi="宋体" w:cs="宋体"/>
          <w:color w:val="000000"/>
          <w:kern w:val="0"/>
          <w:sz w:val="24"/>
          <w:szCs w:val="24"/>
          <w:shd w:val="clear" w:color="auto" w:fill="FFFFFF"/>
        </w:rPr>
        <w:t>，占比较去年同期增加</w:t>
      </w:r>
      <w:r>
        <w:rPr>
          <w:rFonts w:ascii="Tahoma" w:hAnsi="Tahoma" w:cs="Tahoma"/>
          <w:color w:val="000000"/>
          <w:kern w:val="0"/>
          <w:sz w:val="24"/>
          <w:szCs w:val="24"/>
          <w:shd w:val="clear" w:color="auto" w:fill="FFFFFF"/>
        </w:rPr>
        <w:t>5.43</w:t>
      </w:r>
      <w:r>
        <w:rPr>
          <w:rFonts w:hint="eastAsia" w:ascii="宋体" w:hAnsi="宋体" w:cs="宋体"/>
          <w:color w:val="000000"/>
          <w:kern w:val="0"/>
          <w:sz w:val="24"/>
          <w:szCs w:val="24"/>
          <w:shd w:val="clear" w:color="auto" w:fill="FFFFFF"/>
        </w:rPr>
        <w:t>个百分点，投资额同比增长</w:t>
      </w:r>
      <w:r>
        <w:rPr>
          <w:rFonts w:ascii="Tahoma" w:hAnsi="Tahoma" w:cs="Tahoma"/>
          <w:color w:val="000000"/>
          <w:kern w:val="0"/>
          <w:sz w:val="24"/>
          <w:szCs w:val="24"/>
          <w:shd w:val="clear" w:color="auto" w:fill="FFFFFF"/>
        </w:rPr>
        <w:t>11.13%</w:t>
      </w:r>
      <w:r>
        <w:rPr>
          <w:rFonts w:hint="eastAsia" w:ascii="宋体" w:hAnsi="宋体" w:cs="宋体"/>
          <w:color w:val="000000"/>
          <w:kern w:val="0"/>
          <w:sz w:val="24"/>
          <w:szCs w:val="24"/>
          <w:shd w:val="clear" w:color="auto" w:fill="FFFFFF"/>
        </w:rPr>
        <w:t>；住宅营业用房完成投资</w:t>
      </w:r>
      <w:r>
        <w:rPr>
          <w:rFonts w:ascii="Tahoma" w:hAnsi="Tahoma" w:cs="Tahoma"/>
          <w:color w:val="000000"/>
          <w:kern w:val="0"/>
          <w:sz w:val="24"/>
          <w:szCs w:val="24"/>
          <w:shd w:val="clear" w:color="auto" w:fill="FFFFFF"/>
        </w:rPr>
        <w:t>10</w:t>
      </w:r>
      <w:r>
        <w:rPr>
          <w:rFonts w:hint="eastAsia" w:ascii="宋体" w:hAnsi="宋体" w:cs="宋体"/>
          <w:color w:val="000000"/>
          <w:kern w:val="0"/>
          <w:sz w:val="24"/>
          <w:szCs w:val="24"/>
          <w:shd w:val="clear" w:color="auto" w:fill="FFFFFF"/>
        </w:rPr>
        <w:t>亿元，占全市房地产开发总投资的</w:t>
      </w:r>
      <w:r>
        <w:rPr>
          <w:rFonts w:ascii="Tahoma" w:hAnsi="Tahoma" w:cs="Tahoma"/>
          <w:color w:val="000000"/>
          <w:kern w:val="0"/>
          <w:sz w:val="24"/>
          <w:szCs w:val="24"/>
          <w:shd w:val="clear" w:color="auto" w:fill="FFFFFF"/>
        </w:rPr>
        <w:t>18.86%</w:t>
      </w:r>
      <w:r>
        <w:rPr>
          <w:rFonts w:hint="eastAsia" w:ascii="宋体" w:hAnsi="宋体" w:cs="宋体"/>
          <w:color w:val="000000"/>
          <w:kern w:val="0"/>
          <w:sz w:val="24"/>
          <w:szCs w:val="24"/>
          <w:shd w:val="clear" w:color="auto" w:fill="FFFFFF"/>
        </w:rPr>
        <w:t>，占比较去年下降</w:t>
      </w:r>
      <w:r>
        <w:rPr>
          <w:rFonts w:ascii="Tahoma" w:hAnsi="Tahoma" w:cs="Tahoma"/>
          <w:color w:val="000000"/>
          <w:kern w:val="0"/>
          <w:sz w:val="24"/>
          <w:szCs w:val="24"/>
          <w:shd w:val="clear" w:color="auto" w:fill="FFFFFF"/>
        </w:rPr>
        <w:t>3.49</w:t>
      </w:r>
      <w:r>
        <w:rPr>
          <w:rFonts w:hint="eastAsia" w:ascii="宋体" w:hAnsi="宋体" w:cs="宋体"/>
          <w:color w:val="000000"/>
          <w:kern w:val="0"/>
          <w:sz w:val="24"/>
          <w:szCs w:val="24"/>
          <w:shd w:val="clear" w:color="auto" w:fill="FFFFFF"/>
        </w:rPr>
        <w:t>个百分点，投资额同比下降</w:t>
      </w:r>
      <w:r>
        <w:rPr>
          <w:rFonts w:ascii="Tahoma" w:hAnsi="Tahoma" w:cs="Tahoma"/>
          <w:color w:val="000000"/>
          <w:kern w:val="0"/>
          <w:sz w:val="24"/>
          <w:szCs w:val="24"/>
          <w:shd w:val="clear" w:color="auto" w:fill="FFFFFF"/>
        </w:rPr>
        <w:t>13.01%</w:t>
      </w:r>
      <w:r>
        <w:rPr>
          <w:rFonts w:hint="eastAsia" w:ascii="宋体" w:hAnsi="宋体" w:cs="宋体"/>
          <w:color w:val="000000"/>
          <w:kern w:val="0"/>
          <w:sz w:val="24"/>
          <w:szCs w:val="24"/>
          <w:shd w:val="clear" w:color="auto" w:fill="FFFFFF"/>
        </w:rPr>
        <w:t>。</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从各县市区情况看，鹤城区完成房地产开发投资</w:t>
      </w:r>
      <w:r>
        <w:rPr>
          <w:rFonts w:ascii="宋体" w:hAnsi="宋体" w:cs="宋体"/>
          <w:spacing w:val="10"/>
          <w:sz w:val="24"/>
          <w:szCs w:val="24"/>
        </w:rPr>
        <w:t>28.30</w:t>
      </w:r>
      <w:r>
        <w:rPr>
          <w:rFonts w:hint="eastAsia" w:ascii="宋体" w:hAnsi="宋体" w:cs="宋体"/>
          <w:spacing w:val="10"/>
          <w:sz w:val="24"/>
          <w:szCs w:val="24"/>
        </w:rPr>
        <w:t>亿元，同比增长</w:t>
      </w:r>
      <w:r>
        <w:rPr>
          <w:rFonts w:ascii="宋体" w:hAnsi="宋体" w:cs="宋体"/>
          <w:spacing w:val="10"/>
          <w:sz w:val="24"/>
          <w:szCs w:val="24"/>
        </w:rPr>
        <w:t>4.23%</w:t>
      </w:r>
      <w:r>
        <w:rPr>
          <w:rFonts w:hint="eastAsia" w:ascii="宋体" w:hAnsi="宋体" w:cs="宋体"/>
          <w:spacing w:val="10"/>
          <w:sz w:val="24"/>
          <w:szCs w:val="24"/>
        </w:rPr>
        <w:t>，居全市首位，占全市房地产开发总投资的</w:t>
      </w:r>
      <w:r>
        <w:rPr>
          <w:rFonts w:ascii="宋体" w:hAnsi="宋体" w:cs="宋体"/>
          <w:spacing w:val="10"/>
          <w:sz w:val="24"/>
          <w:szCs w:val="24"/>
        </w:rPr>
        <w:t>53.37%</w:t>
      </w:r>
      <w:r>
        <w:rPr>
          <w:rFonts w:hint="eastAsia" w:ascii="宋体" w:hAnsi="宋体" w:cs="宋体"/>
          <w:spacing w:val="10"/>
          <w:sz w:val="24"/>
          <w:szCs w:val="24"/>
        </w:rPr>
        <w:t>；沅陵位居第二，完成房地产开发投资</w:t>
      </w:r>
      <w:r>
        <w:rPr>
          <w:rFonts w:ascii="宋体" w:hAnsi="宋体" w:cs="宋体"/>
          <w:spacing w:val="10"/>
          <w:sz w:val="24"/>
          <w:szCs w:val="24"/>
        </w:rPr>
        <w:t>4.96</w:t>
      </w:r>
      <w:r>
        <w:rPr>
          <w:rFonts w:hint="eastAsia" w:ascii="宋体" w:hAnsi="宋体" w:cs="宋体"/>
          <w:spacing w:val="10"/>
          <w:sz w:val="24"/>
          <w:szCs w:val="24"/>
        </w:rPr>
        <w:t>亿元，同比增长</w:t>
      </w:r>
      <w:r>
        <w:rPr>
          <w:rFonts w:ascii="宋体" w:hAnsi="宋体" w:cs="宋体"/>
          <w:spacing w:val="10"/>
          <w:sz w:val="24"/>
          <w:szCs w:val="24"/>
        </w:rPr>
        <w:t>7.8%</w:t>
      </w:r>
      <w:r>
        <w:rPr>
          <w:rFonts w:hint="eastAsia" w:ascii="宋体" w:hAnsi="宋体" w:cs="宋体"/>
          <w:spacing w:val="10"/>
          <w:sz w:val="24"/>
          <w:szCs w:val="24"/>
        </w:rPr>
        <w:t>；位居第三位的是溆浦，完成房地产开发投资</w:t>
      </w:r>
      <w:r>
        <w:rPr>
          <w:rFonts w:ascii="宋体" w:hAnsi="宋体" w:cs="宋体"/>
          <w:spacing w:val="10"/>
          <w:sz w:val="24"/>
          <w:szCs w:val="24"/>
        </w:rPr>
        <w:t>3.78</w:t>
      </w:r>
      <w:r>
        <w:rPr>
          <w:rFonts w:hint="eastAsia" w:ascii="宋体" w:hAnsi="宋体" w:cs="宋体"/>
          <w:spacing w:val="10"/>
          <w:sz w:val="24"/>
          <w:szCs w:val="24"/>
        </w:rPr>
        <w:t>亿元，同比增长</w:t>
      </w:r>
      <w:r>
        <w:rPr>
          <w:rFonts w:ascii="宋体" w:hAnsi="宋体" w:cs="宋体"/>
          <w:spacing w:val="10"/>
          <w:sz w:val="24"/>
          <w:szCs w:val="24"/>
        </w:rPr>
        <w:t>85.21%</w:t>
      </w:r>
      <w:r>
        <w:rPr>
          <w:rFonts w:hint="eastAsia" w:ascii="宋体" w:hAnsi="宋体" w:cs="宋体"/>
          <w:spacing w:val="10"/>
          <w:sz w:val="24"/>
          <w:szCs w:val="24"/>
        </w:rPr>
        <w:t>。这三个县区共完成房地产开发投资</w:t>
      </w:r>
      <w:r>
        <w:rPr>
          <w:rFonts w:ascii="宋体" w:hAnsi="宋体" w:cs="宋体"/>
          <w:spacing w:val="10"/>
          <w:sz w:val="24"/>
          <w:szCs w:val="24"/>
        </w:rPr>
        <w:t>37.04</w:t>
      </w:r>
      <w:r>
        <w:rPr>
          <w:rFonts w:hint="eastAsia" w:ascii="宋体" w:hAnsi="宋体" w:cs="宋体"/>
          <w:spacing w:val="10"/>
          <w:sz w:val="24"/>
          <w:szCs w:val="24"/>
        </w:rPr>
        <w:t>亿元，占全市房地产开发总投资的</w:t>
      </w:r>
      <w:r>
        <w:rPr>
          <w:rFonts w:ascii="宋体" w:hAnsi="宋体" w:cs="宋体"/>
          <w:spacing w:val="10"/>
          <w:sz w:val="24"/>
          <w:szCs w:val="24"/>
        </w:rPr>
        <w:t>69.85%</w:t>
      </w:r>
      <w:r>
        <w:rPr>
          <w:rFonts w:hint="eastAsia" w:ascii="宋体" w:hAnsi="宋体" w:cs="宋体"/>
          <w:spacing w:val="10"/>
          <w:sz w:val="24"/>
          <w:szCs w:val="24"/>
        </w:rPr>
        <w:t>。</w:t>
      </w:r>
    </w:p>
    <w:p>
      <w:pPr>
        <w:widowControl/>
        <w:spacing w:line="440" w:lineRule="exact"/>
        <w:ind w:firstLine="522" w:firstLineChars="200"/>
        <w:rPr>
          <w:rFonts w:ascii="宋体"/>
          <w:spacing w:val="10"/>
          <w:sz w:val="24"/>
          <w:szCs w:val="24"/>
        </w:rPr>
      </w:pPr>
      <w:r>
        <w:rPr>
          <w:rFonts w:hint="eastAsia" w:ascii="宋体" w:hAnsi="宋体" w:cs="宋体"/>
          <w:b/>
          <w:bCs/>
          <w:spacing w:val="10"/>
          <w:sz w:val="24"/>
          <w:szCs w:val="24"/>
        </w:rPr>
        <w:t>（二）商品房销售面积和销售额持续增长</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当前，怀化市房地产市场在利好政策的不断刺激下</w:t>
      </w:r>
      <w:r>
        <w:rPr>
          <w:rFonts w:ascii="宋体" w:hAnsi="宋体" w:cs="宋体"/>
          <w:spacing w:val="10"/>
          <w:sz w:val="24"/>
          <w:szCs w:val="24"/>
        </w:rPr>
        <w:t xml:space="preserve">, </w:t>
      </w:r>
      <w:r>
        <w:rPr>
          <w:rFonts w:hint="eastAsia" w:ascii="宋体" w:hAnsi="宋体" w:cs="宋体"/>
          <w:spacing w:val="10"/>
          <w:sz w:val="24"/>
          <w:szCs w:val="24"/>
        </w:rPr>
        <w:t>刚性消费和改善性需求得以不断释放，商品房销售面积继续保持增长态势。</w:t>
      </w:r>
      <w:r>
        <w:rPr>
          <w:rFonts w:ascii="宋体" w:hAnsi="宋体" w:cs="宋体"/>
          <w:spacing w:val="10"/>
          <w:sz w:val="24"/>
          <w:szCs w:val="24"/>
        </w:rPr>
        <w:t>1-6</w:t>
      </w:r>
      <w:r>
        <w:rPr>
          <w:rFonts w:hint="eastAsia" w:ascii="宋体" w:hAnsi="宋体" w:cs="宋体"/>
          <w:spacing w:val="10"/>
          <w:sz w:val="24"/>
          <w:szCs w:val="24"/>
        </w:rPr>
        <w:t>月，全市商品房销售面积</w:t>
      </w:r>
      <w:r>
        <w:rPr>
          <w:rFonts w:ascii="宋体" w:hAnsi="宋体" w:cs="宋体"/>
          <w:spacing w:val="10"/>
          <w:sz w:val="24"/>
          <w:szCs w:val="24"/>
        </w:rPr>
        <w:t>228.72</w:t>
      </w:r>
      <w:r>
        <w:rPr>
          <w:rFonts w:hint="eastAsia" w:ascii="宋体" w:hAnsi="宋体" w:cs="宋体"/>
          <w:spacing w:val="10"/>
          <w:sz w:val="24"/>
          <w:szCs w:val="24"/>
        </w:rPr>
        <w:t>万平方米，同比增长</w:t>
      </w:r>
      <w:r>
        <w:rPr>
          <w:rFonts w:ascii="宋体" w:hAnsi="宋体" w:cs="宋体"/>
          <w:spacing w:val="10"/>
          <w:sz w:val="24"/>
          <w:szCs w:val="24"/>
        </w:rPr>
        <w:t>35.52%</w:t>
      </w:r>
      <w:r>
        <w:rPr>
          <w:rFonts w:hint="eastAsia" w:ascii="宋体" w:hAnsi="宋体" w:cs="宋体"/>
          <w:spacing w:val="10"/>
          <w:sz w:val="24"/>
          <w:szCs w:val="24"/>
        </w:rPr>
        <w:t>。其中，住宅销售面积</w:t>
      </w:r>
      <w:r>
        <w:rPr>
          <w:rFonts w:ascii="宋体" w:hAnsi="宋体" w:cs="宋体"/>
          <w:spacing w:val="10"/>
          <w:sz w:val="24"/>
          <w:szCs w:val="24"/>
        </w:rPr>
        <w:t>196.57</w:t>
      </w:r>
      <w:r>
        <w:rPr>
          <w:rFonts w:hint="eastAsia" w:ascii="宋体" w:hAnsi="宋体" w:cs="宋体"/>
          <w:spacing w:val="10"/>
          <w:sz w:val="24"/>
          <w:szCs w:val="24"/>
        </w:rPr>
        <w:t>万平方米，增长</w:t>
      </w:r>
      <w:r>
        <w:rPr>
          <w:rFonts w:ascii="宋体" w:hAnsi="宋体" w:cs="宋体"/>
          <w:spacing w:val="10"/>
          <w:sz w:val="24"/>
          <w:szCs w:val="24"/>
        </w:rPr>
        <w:t>35.33%</w:t>
      </w:r>
      <w:r>
        <w:rPr>
          <w:rFonts w:hint="eastAsia" w:ascii="宋体" w:hAnsi="宋体" w:cs="宋体"/>
          <w:spacing w:val="10"/>
          <w:sz w:val="24"/>
          <w:szCs w:val="24"/>
        </w:rPr>
        <w:t>；办公用房销售面积</w:t>
      </w:r>
      <w:r>
        <w:rPr>
          <w:rFonts w:ascii="宋体" w:hAnsi="宋体" w:cs="宋体"/>
          <w:spacing w:val="10"/>
          <w:sz w:val="24"/>
          <w:szCs w:val="24"/>
        </w:rPr>
        <w:t>0.19</w:t>
      </w:r>
      <w:r>
        <w:rPr>
          <w:rFonts w:hint="eastAsia" w:ascii="宋体" w:hAnsi="宋体" w:cs="宋体"/>
          <w:spacing w:val="10"/>
          <w:sz w:val="24"/>
          <w:szCs w:val="24"/>
        </w:rPr>
        <w:t>万平方米，增长</w:t>
      </w:r>
      <w:r>
        <w:rPr>
          <w:rFonts w:ascii="宋体" w:hAnsi="宋体" w:cs="宋体"/>
          <w:spacing w:val="10"/>
          <w:sz w:val="24"/>
          <w:szCs w:val="24"/>
        </w:rPr>
        <w:t>26.67 %</w:t>
      </w:r>
      <w:r>
        <w:rPr>
          <w:rFonts w:hint="eastAsia" w:ascii="宋体" w:hAnsi="宋体" w:cs="宋体"/>
          <w:spacing w:val="10"/>
          <w:sz w:val="24"/>
          <w:szCs w:val="24"/>
        </w:rPr>
        <w:t>；住宅营业用房销售面积</w:t>
      </w:r>
      <w:r>
        <w:rPr>
          <w:rFonts w:ascii="宋体" w:hAnsi="宋体" w:cs="宋体"/>
          <w:spacing w:val="10"/>
          <w:sz w:val="24"/>
          <w:szCs w:val="24"/>
        </w:rPr>
        <w:t>25.66</w:t>
      </w:r>
      <w:r>
        <w:rPr>
          <w:rFonts w:hint="eastAsia" w:ascii="宋体" w:hAnsi="宋体" w:cs="宋体"/>
          <w:spacing w:val="10"/>
          <w:sz w:val="24"/>
          <w:szCs w:val="24"/>
        </w:rPr>
        <w:t>万平方米，增长</w:t>
      </w:r>
      <w:r>
        <w:rPr>
          <w:rFonts w:ascii="宋体" w:hAnsi="宋体" w:cs="宋体"/>
          <w:spacing w:val="10"/>
          <w:sz w:val="24"/>
          <w:szCs w:val="24"/>
        </w:rPr>
        <w:t>17.92%</w:t>
      </w:r>
      <w:r>
        <w:rPr>
          <w:rFonts w:hint="eastAsia" w:ascii="宋体" w:hAnsi="宋体" w:cs="宋体"/>
          <w:spacing w:val="10"/>
          <w:sz w:val="24"/>
          <w:szCs w:val="24"/>
        </w:rPr>
        <w:t>。</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从各县市区情况看，鹤城区商品房销售面积</w:t>
      </w:r>
      <w:r>
        <w:rPr>
          <w:rFonts w:ascii="宋体" w:hAnsi="宋体" w:cs="宋体"/>
          <w:spacing w:val="10"/>
          <w:sz w:val="24"/>
          <w:szCs w:val="24"/>
        </w:rPr>
        <w:t>103.96</w:t>
      </w:r>
      <w:r>
        <w:rPr>
          <w:rFonts w:hint="eastAsia" w:ascii="宋体" w:hAnsi="宋体" w:cs="宋体"/>
          <w:spacing w:val="10"/>
          <w:sz w:val="24"/>
          <w:szCs w:val="24"/>
        </w:rPr>
        <w:t>万平方米，同比增长</w:t>
      </w:r>
      <w:r>
        <w:rPr>
          <w:rFonts w:ascii="宋体" w:hAnsi="宋体" w:cs="宋体"/>
          <w:spacing w:val="10"/>
          <w:sz w:val="24"/>
          <w:szCs w:val="24"/>
        </w:rPr>
        <w:t>34.77%</w:t>
      </w:r>
      <w:r>
        <w:rPr>
          <w:rFonts w:hint="eastAsia" w:ascii="宋体" w:hAnsi="宋体" w:cs="宋体"/>
          <w:spacing w:val="10"/>
          <w:sz w:val="24"/>
          <w:szCs w:val="24"/>
        </w:rPr>
        <w:t>，位居全市首位，占全市总量的</w:t>
      </w:r>
      <w:r>
        <w:rPr>
          <w:rFonts w:ascii="宋体" w:hAnsi="宋体" w:cs="宋体"/>
          <w:spacing w:val="10"/>
          <w:sz w:val="24"/>
          <w:szCs w:val="24"/>
        </w:rPr>
        <w:t>45.45%</w:t>
      </w:r>
      <w:r>
        <w:rPr>
          <w:rFonts w:hint="eastAsia" w:ascii="宋体" w:hAnsi="宋体" w:cs="宋体"/>
          <w:spacing w:val="10"/>
          <w:sz w:val="24"/>
          <w:szCs w:val="24"/>
        </w:rPr>
        <w:t>，但比较上期下降</w:t>
      </w:r>
      <w:r>
        <w:rPr>
          <w:rFonts w:ascii="宋体" w:hAnsi="宋体" w:cs="宋体"/>
          <w:spacing w:val="10"/>
          <w:sz w:val="24"/>
          <w:szCs w:val="24"/>
        </w:rPr>
        <w:t>10.56</w:t>
      </w:r>
      <w:r>
        <w:rPr>
          <w:rFonts w:hint="eastAsia" w:ascii="宋体" w:hAnsi="宋体" w:cs="宋体"/>
          <w:spacing w:val="10"/>
          <w:sz w:val="24"/>
          <w:szCs w:val="24"/>
        </w:rPr>
        <w:t>个百分点；怀化市位居全市第二，完成销售面积</w:t>
      </w:r>
      <w:r>
        <w:rPr>
          <w:rFonts w:ascii="宋体" w:hAnsi="宋体" w:cs="宋体"/>
          <w:spacing w:val="10"/>
          <w:sz w:val="24"/>
          <w:szCs w:val="24"/>
        </w:rPr>
        <w:t>27.69</w:t>
      </w:r>
      <w:r>
        <w:rPr>
          <w:rFonts w:hint="eastAsia" w:ascii="宋体" w:hAnsi="宋体" w:cs="宋体"/>
          <w:spacing w:val="10"/>
          <w:sz w:val="24"/>
          <w:szCs w:val="24"/>
        </w:rPr>
        <w:t>万平方米，增长</w:t>
      </w:r>
      <w:r>
        <w:rPr>
          <w:rFonts w:ascii="宋体" w:hAnsi="宋体" w:cs="宋体"/>
          <w:spacing w:val="10"/>
          <w:sz w:val="24"/>
          <w:szCs w:val="24"/>
        </w:rPr>
        <w:t>40.65%</w:t>
      </w:r>
      <w:r>
        <w:rPr>
          <w:rFonts w:hint="eastAsia" w:ascii="宋体" w:hAnsi="宋体" w:cs="宋体"/>
          <w:spacing w:val="10"/>
          <w:sz w:val="24"/>
          <w:szCs w:val="24"/>
        </w:rPr>
        <w:t>；辰溪县位居第三，完成销售面积</w:t>
      </w:r>
      <w:r>
        <w:rPr>
          <w:rFonts w:ascii="宋体" w:hAnsi="宋体" w:cs="宋体"/>
          <w:spacing w:val="10"/>
          <w:sz w:val="24"/>
          <w:szCs w:val="24"/>
        </w:rPr>
        <w:t>24.61</w:t>
      </w:r>
      <w:r>
        <w:rPr>
          <w:rFonts w:hint="eastAsia" w:ascii="宋体" w:hAnsi="宋体" w:cs="宋体"/>
          <w:spacing w:val="10"/>
          <w:sz w:val="24"/>
          <w:szCs w:val="24"/>
        </w:rPr>
        <w:t>万平方米，同比增长</w:t>
      </w:r>
      <w:r>
        <w:rPr>
          <w:rFonts w:ascii="宋体" w:hAnsi="宋体" w:cs="宋体"/>
          <w:spacing w:val="10"/>
          <w:sz w:val="24"/>
          <w:szCs w:val="24"/>
        </w:rPr>
        <w:t>33.12%</w:t>
      </w:r>
      <w:r>
        <w:rPr>
          <w:rFonts w:hint="eastAsia" w:ascii="宋体" w:hAnsi="宋体" w:cs="宋体"/>
          <w:spacing w:val="10"/>
          <w:sz w:val="24"/>
          <w:szCs w:val="24"/>
        </w:rPr>
        <w:t>。三个县区共完成销售面积</w:t>
      </w:r>
      <w:r>
        <w:rPr>
          <w:rFonts w:ascii="宋体" w:hAnsi="宋体" w:cs="宋体"/>
          <w:spacing w:val="10"/>
          <w:sz w:val="24"/>
          <w:szCs w:val="24"/>
        </w:rPr>
        <w:t>156.26</w:t>
      </w:r>
      <w:r>
        <w:rPr>
          <w:rFonts w:hint="eastAsia" w:ascii="宋体" w:hAnsi="宋体" w:cs="宋体"/>
          <w:spacing w:val="10"/>
          <w:sz w:val="24"/>
          <w:szCs w:val="24"/>
        </w:rPr>
        <w:t>万平方米，占全市总的商品房销售面积</w:t>
      </w:r>
      <w:r>
        <w:rPr>
          <w:rFonts w:ascii="宋体" w:hAnsi="宋体" w:cs="宋体"/>
          <w:spacing w:val="10"/>
          <w:sz w:val="24"/>
          <w:szCs w:val="24"/>
        </w:rPr>
        <w:t>68.32</w:t>
      </w:r>
      <w:r>
        <w:rPr>
          <w:rFonts w:hint="eastAsia" w:ascii="宋体" w:hAnsi="宋体" w:cs="宋体"/>
          <w:spacing w:val="10"/>
          <w:sz w:val="24"/>
          <w:szCs w:val="24"/>
        </w:rPr>
        <w:t>％。</w:t>
      </w:r>
    </w:p>
    <w:p>
      <w:pPr>
        <w:widowControl/>
        <w:spacing w:line="440" w:lineRule="exact"/>
        <w:ind w:firstLine="522" w:firstLineChars="200"/>
        <w:rPr>
          <w:rFonts w:ascii="宋体"/>
          <w:b/>
          <w:bCs/>
          <w:spacing w:val="10"/>
          <w:sz w:val="24"/>
          <w:szCs w:val="24"/>
        </w:rPr>
      </w:pPr>
      <w:r>
        <w:rPr>
          <w:rFonts w:hint="eastAsia" w:ascii="宋体" w:hAnsi="宋体" w:cs="宋体"/>
          <w:b/>
          <w:bCs/>
          <w:spacing w:val="10"/>
          <w:sz w:val="24"/>
          <w:szCs w:val="24"/>
        </w:rPr>
        <w:t>（三）住宅待售面积环比减少</w:t>
      </w:r>
      <w:r>
        <w:rPr>
          <w:rFonts w:ascii="宋体" w:cs="宋体"/>
          <w:b/>
          <w:bCs/>
          <w:spacing w:val="10"/>
          <w:sz w:val="24"/>
          <w:szCs w:val="24"/>
        </w:rPr>
        <w:t>,</w:t>
      </w:r>
      <w:r>
        <w:rPr>
          <w:rFonts w:hint="eastAsia" w:ascii="宋体" w:hAnsi="宋体" w:cs="宋体"/>
          <w:b/>
          <w:bCs/>
          <w:spacing w:val="10"/>
          <w:sz w:val="24"/>
          <w:szCs w:val="24"/>
        </w:rPr>
        <w:t>去库存初见成效</w:t>
      </w:r>
    </w:p>
    <w:p>
      <w:pPr>
        <w:widowControl/>
        <w:spacing w:line="440" w:lineRule="exact"/>
        <w:ind w:firstLine="520" w:firstLineChars="200"/>
        <w:rPr>
          <w:rFonts w:ascii="宋体"/>
          <w:spacing w:val="10"/>
          <w:sz w:val="24"/>
          <w:szCs w:val="24"/>
        </w:rPr>
      </w:pPr>
      <w:r>
        <w:rPr>
          <w:rFonts w:ascii="宋体" w:hAnsi="宋体" w:cs="宋体"/>
          <w:spacing w:val="10"/>
          <w:sz w:val="24"/>
          <w:szCs w:val="24"/>
        </w:rPr>
        <w:t>1-6</w:t>
      </w:r>
      <w:r>
        <w:rPr>
          <w:rFonts w:hint="eastAsia" w:ascii="宋体" w:hAnsi="宋体" w:cs="宋体"/>
          <w:spacing w:val="10"/>
          <w:sz w:val="24"/>
          <w:szCs w:val="24"/>
        </w:rPr>
        <w:t>月，怀化市商品房待售面积</w:t>
      </w:r>
      <w:r>
        <w:rPr>
          <w:rFonts w:ascii="宋体" w:hAnsi="宋体" w:cs="宋体"/>
          <w:spacing w:val="10"/>
          <w:sz w:val="24"/>
          <w:szCs w:val="24"/>
        </w:rPr>
        <w:t>154.10</w:t>
      </w:r>
      <w:r>
        <w:rPr>
          <w:rFonts w:hint="eastAsia" w:ascii="宋体" w:hAnsi="宋体" w:cs="宋体"/>
          <w:spacing w:val="10"/>
          <w:sz w:val="24"/>
          <w:szCs w:val="24"/>
        </w:rPr>
        <w:t>万平方米，同比增长</w:t>
      </w:r>
      <w:r>
        <w:rPr>
          <w:rFonts w:ascii="宋体" w:hAnsi="宋体" w:cs="宋体"/>
          <w:spacing w:val="10"/>
          <w:sz w:val="24"/>
          <w:szCs w:val="24"/>
        </w:rPr>
        <w:t>11.47%</w:t>
      </w:r>
      <w:r>
        <w:rPr>
          <w:rFonts w:hint="eastAsia" w:ascii="宋体" w:hAnsi="宋体" w:cs="宋体"/>
          <w:spacing w:val="10"/>
          <w:sz w:val="24"/>
          <w:szCs w:val="24"/>
        </w:rPr>
        <w:t>。其中住宅待售面积</w:t>
      </w:r>
      <w:r>
        <w:rPr>
          <w:rFonts w:ascii="宋体" w:hAnsi="宋体" w:cs="宋体"/>
          <w:spacing w:val="10"/>
          <w:sz w:val="24"/>
          <w:szCs w:val="24"/>
        </w:rPr>
        <w:t>105.57</w:t>
      </w:r>
      <w:r>
        <w:rPr>
          <w:rFonts w:hint="eastAsia" w:ascii="宋体" w:hAnsi="宋体" w:cs="宋体"/>
          <w:spacing w:val="10"/>
          <w:sz w:val="24"/>
          <w:szCs w:val="24"/>
        </w:rPr>
        <w:t>万平方米，同比下降</w:t>
      </w:r>
      <w:r>
        <w:rPr>
          <w:rFonts w:ascii="宋体" w:hAnsi="宋体" w:cs="宋体"/>
          <w:spacing w:val="10"/>
          <w:sz w:val="24"/>
          <w:szCs w:val="24"/>
        </w:rPr>
        <w:t>1.43%</w:t>
      </w:r>
      <w:r>
        <w:rPr>
          <w:rFonts w:hint="eastAsia" w:ascii="宋体" w:hAnsi="宋体" w:cs="宋体"/>
          <w:spacing w:val="10"/>
          <w:sz w:val="24"/>
          <w:szCs w:val="24"/>
        </w:rPr>
        <w:t>；住宅营业用房待售面积</w:t>
      </w:r>
      <w:r>
        <w:rPr>
          <w:rFonts w:ascii="宋体" w:hAnsi="宋体" w:cs="宋体"/>
          <w:spacing w:val="10"/>
          <w:sz w:val="24"/>
          <w:szCs w:val="24"/>
        </w:rPr>
        <w:t>34.04</w:t>
      </w:r>
      <w:r>
        <w:rPr>
          <w:rFonts w:hint="eastAsia" w:ascii="宋体" w:hAnsi="宋体" w:cs="宋体"/>
          <w:spacing w:val="10"/>
          <w:sz w:val="24"/>
          <w:szCs w:val="24"/>
        </w:rPr>
        <w:t>万平方米，同比增长</w:t>
      </w:r>
      <w:r>
        <w:rPr>
          <w:rFonts w:ascii="宋体" w:hAnsi="宋体" w:cs="宋体"/>
          <w:spacing w:val="10"/>
          <w:sz w:val="24"/>
          <w:szCs w:val="24"/>
        </w:rPr>
        <w:t>51.51%</w:t>
      </w:r>
      <w:r>
        <w:rPr>
          <w:rFonts w:hint="eastAsia" w:ascii="宋体" w:hAnsi="宋体" w:cs="宋体"/>
          <w:spacing w:val="10"/>
          <w:sz w:val="24"/>
          <w:szCs w:val="24"/>
        </w:rPr>
        <w:t>；办公用房待售面积</w:t>
      </w:r>
      <w:r>
        <w:rPr>
          <w:rFonts w:ascii="宋体" w:hAnsi="宋体" w:cs="宋体"/>
          <w:spacing w:val="10"/>
          <w:sz w:val="24"/>
          <w:szCs w:val="24"/>
        </w:rPr>
        <w:t>2.8</w:t>
      </w:r>
      <w:r>
        <w:rPr>
          <w:rFonts w:hint="eastAsia" w:ascii="宋体" w:hAnsi="宋体" w:cs="宋体"/>
          <w:spacing w:val="10"/>
          <w:sz w:val="24"/>
          <w:szCs w:val="24"/>
        </w:rPr>
        <w:t>万平方米，同比增长</w:t>
      </w:r>
      <w:r>
        <w:rPr>
          <w:rFonts w:ascii="宋体" w:hAnsi="宋体" w:cs="宋体"/>
          <w:spacing w:val="10"/>
          <w:sz w:val="24"/>
          <w:szCs w:val="24"/>
        </w:rPr>
        <w:t>251.3%</w:t>
      </w:r>
      <w:r>
        <w:rPr>
          <w:rFonts w:hint="eastAsia" w:ascii="宋体" w:hAnsi="宋体" w:cs="宋体"/>
          <w:spacing w:val="10"/>
          <w:sz w:val="24"/>
          <w:szCs w:val="24"/>
        </w:rPr>
        <w:t>；其他待售面积</w:t>
      </w:r>
      <w:r>
        <w:rPr>
          <w:rFonts w:ascii="宋体" w:hAnsi="宋体" w:cs="宋体"/>
          <w:spacing w:val="10"/>
          <w:sz w:val="24"/>
          <w:szCs w:val="24"/>
        </w:rPr>
        <w:t>11.69</w:t>
      </w:r>
      <w:r>
        <w:rPr>
          <w:rFonts w:hint="eastAsia" w:ascii="宋体" w:hAnsi="宋体" w:cs="宋体"/>
          <w:spacing w:val="10"/>
          <w:sz w:val="24"/>
          <w:szCs w:val="24"/>
        </w:rPr>
        <w:t>万平方米，同比增长</w:t>
      </w:r>
      <w:r>
        <w:rPr>
          <w:rFonts w:ascii="宋体" w:hAnsi="宋体" w:cs="宋体"/>
          <w:spacing w:val="10"/>
          <w:sz w:val="24"/>
          <w:szCs w:val="24"/>
        </w:rPr>
        <w:t>48.04%</w:t>
      </w:r>
      <w:r>
        <w:rPr>
          <w:rFonts w:hint="eastAsia" w:ascii="宋体" w:hAnsi="宋体" w:cs="宋体"/>
          <w:spacing w:val="10"/>
          <w:sz w:val="24"/>
          <w:szCs w:val="24"/>
        </w:rPr>
        <w:t>。</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从以上数据看，怀化市商品房待售面积中，住宅待售面积下降了</w:t>
      </w:r>
      <w:r>
        <w:rPr>
          <w:rFonts w:ascii="宋体" w:hAnsi="宋体" w:cs="宋体"/>
          <w:spacing w:val="10"/>
          <w:sz w:val="24"/>
          <w:szCs w:val="24"/>
        </w:rPr>
        <w:t>1.43%</w:t>
      </w:r>
      <w:r>
        <w:rPr>
          <w:rFonts w:hint="eastAsia" w:ascii="宋体" w:hAnsi="宋体" w:cs="宋体"/>
          <w:spacing w:val="10"/>
          <w:sz w:val="24"/>
          <w:szCs w:val="24"/>
        </w:rPr>
        <w:t>。同时全市</w:t>
      </w:r>
      <w:r>
        <w:rPr>
          <w:rFonts w:ascii="宋体" w:hAnsi="宋体" w:cs="宋体"/>
          <w:spacing w:val="10"/>
          <w:sz w:val="24"/>
          <w:szCs w:val="24"/>
        </w:rPr>
        <w:t>1-6</w:t>
      </w:r>
      <w:r>
        <w:rPr>
          <w:rFonts w:hint="eastAsia" w:ascii="宋体" w:hAnsi="宋体" w:cs="宋体"/>
          <w:spacing w:val="10"/>
          <w:sz w:val="24"/>
          <w:szCs w:val="24"/>
        </w:rPr>
        <w:t>月商品房待售面积环比下降了</w:t>
      </w:r>
      <w:r>
        <w:rPr>
          <w:rFonts w:ascii="宋体" w:hAnsi="宋体" w:cs="宋体"/>
          <w:spacing w:val="10"/>
          <w:sz w:val="24"/>
          <w:szCs w:val="24"/>
        </w:rPr>
        <w:t>9.62</w:t>
      </w:r>
      <w:r>
        <w:rPr>
          <w:rFonts w:hint="eastAsia" w:ascii="宋体" w:hAnsi="宋体" w:cs="宋体"/>
          <w:spacing w:val="10"/>
          <w:sz w:val="24"/>
          <w:szCs w:val="24"/>
        </w:rPr>
        <w:t>万平方米，增幅比上期下降了</w:t>
      </w:r>
      <w:r>
        <w:rPr>
          <w:rFonts w:ascii="宋体" w:hAnsi="宋体" w:cs="宋体"/>
          <w:spacing w:val="10"/>
          <w:sz w:val="24"/>
          <w:szCs w:val="24"/>
        </w:rPr>
        <w:t>9.07</w:t>
      </w:r>
      <w:r>
        <w:rPr>
          <w:rFonts w:hint="eastAsia" w:ascii="宋体" w:hAnsi="宋体" w:cs="宋体"/>
          <w:spacing w:val="10"/>
          <w:sz w:val="24"/>
          <w:szCs w:val="24"/>
        </w:rPr>
        <w:t>个百分点，反映住宅去库存初见成效。</w:t>
      </w:r>
    </w:p>
    <w:p>
      <w:pPr>
        <w:widowControl/>
        <w:spacing w:line="440" w:lineRule="exact"/>
        <w:ind w:firstLine="520" w:firstLineChars="200"/>
        <w:rPr>
          <w:rFonts w:ascii="宋体"/>
          <w:spacing w:val="10"/>
          <w:sz w:val="24"/>
          <w:szCs w:val="24"/>
        </w:rPr>
      </w:pPr>
      <w:r>
        <w:rPr>
          <w:rFonts w:ascii="宋体" w:hAnsi="宋体" w:cs="宋体"/>
          <w:spacing w:val="10"/>
          <w:sz w:val="24"/>
          <w:szCs w:val="24"/>
        </w:rPr>
        <w:t>(</w:t>
      </w:r>
      <w:r>
        <w:rPr>
          <w:rFonts w:hint="eastAsia" w:ascii="宋体" w:hAnsi="宋体" w:cs="宋体"/>
          <w:spacing w:val="10"/>
          <w:sz w:val="24"/>
          <w:szCs w:val="24"/>
        </w:rPr>
        <w:t>四）土地购置面积同比下降，房企增加投资信心不足。</w:t>
      </w:r>
      <w:r>
        <w:rPr>
          <w:rFonts w:ascii="宋体" w:hAnsi="宋体" w:cs="宋体"/>
          <w:spacing w:val="10"/>
          <w:sz w:val="24"/>
          <w:szCs w:val="24"/>
        </w:rPr>
        <w:t>1-6</w:t>
      </w:r>
      <w:r>
        <w:rPr>
          <w:rFonts w:hint="eastAsia" w:ascii="宋体" w:hAnsi="宋体" w:cs="宋体"/>
          <w:spacing w:val="10"/>
          <w:sz w:val="24"/>
          <w:szCs w:val="24"/>
        </w:rPr>
        <w:t>月，全市房地产开发企业土地购置面积共</w:t>
      </w:r>
      <w:r>
        <w:rPr>
          <w:rFonts w:ascii="宋体" w:hAnsi="宋体" w:cs="宋体"/>
          <w:spacing w:val="10"/>
          <w:sz w:val="24"/>
          <w:szCs w:val="24"/>
        </w:rPr>
        <w:t>25.04</w:t>
      </w:r>
      <w:r>
        <w:rPr>
          <w:rFonts w:hint="eastAsia" w:ascii="宋体" w:hAnsi="宋体" w:cs="宋体"/>
          <w:spacing w:val="10"/>
          <w:sz w:val="24"/>
          <w:szCs w:val="24"/>
        </w:rPr>
        <w:t>万平方米，同比下降</w:t>
      </w:r>
      <w:r>
        <w:rPr>
          <w:rFonts w:ascii="宋体" w:hAnsi="宋体" w:cs="宋体"/>
          <w:spacing w:val="10"/>
          <w:sz w:val="24"/>
          <w:szCs w:val="24"/>
        </w:rPr>
        <w:t>8.67%</w:t>
      </w:r>
      <w:r>
        <w:rPr>
          <w:rFonts w:hint="eastAsia" w:ascii="宋体" w:hAnsi="宋体" w:cs="宋体"/>
          <w:spacing w:val="10"/>
          <w:sz w:val="24"/>
          <w:szCs w:val="24"/>
        </w:rPr>
        <w:t>。从近三年土地购置面积数据来看：</w:t>
      </w:r>
      <w:r>
        <w:rPr>
          <w:rFonts w:ascii="宋体" w:hAnsi="宋体" w:cs="宋体"/>
          <w:spacing w:val="10"/>
          <w:sz w:val="24"/>
          <w:szCs w:val="24"/>
        </w:rPr>
        <w:t>2014</w:t>
      </w:r>
      <w:r>
        <w:rPr>
          <w:rFonts w:hint="eastAsia" w:ascii="宋体" w:hAnsi="宋体" w:cs="宋体"/>
          <w:spacing w:val="10"/>
          <w:sz w:val="24"/>
          <w:szCs w:val="24"/>
        </w:rPr>
        <w:t>年房地产开发企业购地面积</w:t>
      </w:r>
      <w:r>
        <w:rPr>
          <w:rFonts w:ascii="宋体" w:hAnsi="宋体" w:cs="宋体"/>
          <w:spacing w:val="10"/>
          <w:sz w:val="24"/>
          <w:szCs w:val="24"/>
        </w:rPr>
        <w:t>24.72</w:t>
      </w:r>
      <w:r>
        <w:rPr>
          <w:rFonts w:hint="eastAsia" w:ascii="宋体" w:hAnsi="宋体" w:cs="宋体"/>
          <w:spacing w:val="10"/>
          <w:sz w:val="24"/>
          <w:szCs w:val="24"/>
        </w:rPr>
        <w:t>万平方米，比</w:t>
      </w:r>
      <w:r>
        <w:rPr>
          <w:rFonts w:ascii="宋体" w:hAnsi="宋体" w:cs="宋体"/>
          <w:spacing w:val="10"/>
          <w:sz w:val="24"/>
          <w:szCs w:val="24"/>
        </w:rPr>
        <w:t>2013</w:t>
      </w:r>
      <w:r>
        <w:rPr>
          <w:rFonts w:hint="eastAsia" w:ascii="宋体" w:hAnsi="宋体" w:cs="宋体"/>
          <w:spacing w:val="10"/>
          <w:sz w:val="24"/>
          <w:szCs w:val="24"/>
        </w:rPr>
        <w:t>年增加</w:t>
      </w:r>
      <w:r>
        <w:rPr>
          <w:rFonts w:ascii="宋体" w:hAnsi="宋体" w:cs="宋体"/>
          <w:spacing w:val="10"/>
          <w:sz w:val="24"/>
          <w:szCs w:val="24"/>
        </w:rPr>
        <w:t>7.45</w:t>
      </w:r>
      <w:r>
        <w:rPr>
          <w:rFonts w:hint="eastAsia" w:ascii="宋体" w:hAnsi="宋体" w:cs="宋体"/>
          <w:spacing w:val="10"/>
          <w:sz w:val="24"/>
          <w:szCs w:val="24"/>
        </w:rPr>
        <w:t>万平方米，增长</w:t>
      </w:r>
      <w:r>
        <w:rPr>
          <w:rFonts w:ascii="宋体" w:hAnsi="宋体" w:cs="宋体"/>
          <w:spacing w:val="10"/>
          <w:sz w:val="24"/>
          <w:szCs w:val="24"/>
        </w:rPr>
        <w:t>43.14%</w:t>
      </w:r>
      <w:r>
        <w:rPr>
          <w:rFonts w:hint="eastAsia" w:ascii="宋体" w:hAnsi="宋体" w:cs="宋体"/>
          <w:spacing w:val="10"/>
          <w:sz w:val="24"/>
          <w:szCs w:val="24"/>
        </w:rPr>
        <w:t>；</w:t>
      </w:r>
      <w:r>
        <w:rPr>
          <w:rFonts w:ascii="宋体" w:hAnsi="宋体" w:cs="宋体"/>
          <w:spacing w:val="10"/>
          <w:sz w:val="24"/>
          <w:szCs w:val="24"/>
        </w:rPr>
        <w:t>2015</w:t>
      </w:r>
      <w:r>
        <w:rPr>
          <w:rFonts w:hint="eastAsia" w:ascii="宋体" w:hAnsi="宋体" w:cs="宋体"/>
          <w:spacing w:val="10"/>
          <w:sz w:val="24"/>
          <w:szCs w:val="24"/>
        </w:rPr>
        <w:t>年房地产开发企业购地面积</w:t>
      </w:r>
      <w:r>
        <w:rPr>
          <w:rFonts w:ascii="宋体" w:hAnsi="宋体" w:cs="宋体"/>
          <w:spacing w:val="10"/>
          <w:sz w:val="24"/>
          <w:szCs w:val="24"/>
        </w:rPr>
        <w:t>27.42</w:t>
      </w:r>
      <w:r>
        <w:rPr>
          <w:rFonts w:hint="eastAsia" w:ascii="宋体" w:hAnsi="宋体" w:cs="宋体"/>
          <w:spacing w:val="10"/>
          <w:sz w:val="24"/>
          <w:szCs w:val="24"/>
        </w:rPr>
        <w:t>万平方米，比</w:t>
      </w:r>
      <w:r>
        <w:rPr>
          <w:rFonts w:ascii="宋体" w:hAnsi="宋体" w:cs="宋体"/>
          <w:spacing w:val="10"/>
          <w:sz w:val="24"/>
          <w:szCs w:val="24"/>
        </w:rPr>
        <w:t>2014</w:t>
      </w:r>
      <w:r>
        <w:rPr>
          <w:rFonts w:hint="eastAsia" w:ascii="宋体" w:hAnsi="宋体" w:cs="宋体"/>
          <w:spacing w:val="10"/>
          <w:sz w:val="24"/>
          <w:szCs w:val="24"/>
        </w:rPr>
        <w:t>年增加</w:t>
      </w:r>
      <w:r>
        <w:rPr>
          <w:rFonts w:ascii="宋体" w:hAnsi="宋体" w:cs="宋体"/>
          <w:spacing w:val="10"/>
          <w:sz w:val="24"/>
          <w:szCs w:val="24"/>
        </w:rPr>
        <w:t>2.70</w:t>
      </w:r>
      <w:r>
        <w:rPr>
          <w:rFonts w:hint="eastAsia" w:ascii="宋体" w:hAnsi="宋体" w:cs="宋体"/>
          <w:spacing w:val="10"/>
          <w:sz w:val="24"/>
          <w:szCs w:val="24"/>
        </w:rPr>
        <w:t>万平方米，增长</w:t>
      </w:r>
      <w:r>
        <w:rPr>
          <w:rFonts w:ascii="宋体" w:hAnsi="宋体" w:cs="宋体"/>
          <w:spacing w:val="10"/>
          <w:sz w:val="24"/>
          <w:szCs w:val="24"/>
        </w:rPr>
        <w:t>10.92%</w:t>
      </w:r>
      <w:r>
        <w:rPr>
          <w:rFonts w:hint="eastAsia" w:ascii="宋体" w:hAnsi="宋体" w:cs="宋体"/>
          <w:spacing w:val="10"/>
          <w:sz w:val="24"/>
          <w:szCs w:val="24"/>
        </w:rPr>
        <w:t>；</w:t>
      </w:r>
      <w:r>
        <w:rPr>
          <w:rFonts w:ascii="宋体" w:hAnsi="宋体" w:cs="宋体"/>
          <w:spacing w:val="10"/>
          <w:sz w:val="24"/>
          <w:szCs w:val="24"/>
        </w:rPr>
        <w:t>2016</w:t>
      </w:r>
      <w:r>
        <w:rPr>
          <w:rFonts w:hint="eastAsia" w:ascii="宋体" w:hAnsi="宋体" w:cs="宋体"/>
          <w:spacing w:val="10"/>
          <w:sz w:val="24"/>
          <w:szCs w:val="24"/>
        </w:rPr>
        <w:t>年，房地产开发企业购地</w:t>
      </w:r>
      <w:r>
        <w:rPr>
          <w:rFonts w:ascii="宋体" w:hAnsi="宋体" w:cs="宋体"/>
          <w:spacing w:val="10"/>
          <w:sz w:val="24"/>
          <w:szCs w:val="24"/>
        </w:rPr>
        <w:t>25.04</w:t>
      </w:r>
      <w:r>
        <w:rPr>
          <w:rFonts w:hint="eastAsia" w:ascii="宋体" w:hAnsi="宋体" w:cs="宋体"/>
          <w:spacing w:val="10"/>
          <w:sz w:val="24"/>
          <w:szCs w:val="24"/>
        </w:rPr>
        <w:t>万平方米，比</w:t>
      </w:r>
      <w:r>
        <w:rPr>
          <w:rFonts w:ascii="宋体" w:hAnsi="宋体" w:cs="宋体"/>
          <w:spacing w:val="10"/>
          <w:sz w:val="24"/>
          <w:szCs w:val="24"/>
        </w:rPr>
        <w:t>2015</w:t>
      </w:r>
      <w:r>
        <w:rPr>
          <w:rFonts w:hint="eastAsia" w:ascii="宋体" w:hAnsi="宋体" w:cs="宋体"/>
          <w:spacing w:val="10"/>
          <w:sz w:val="24"/>
          <w:szCs w:val="24"/>
        </w:rPr>
        <w:t>年减少</w:t>
      </w:r>
      <w:r>
        <w:rPr>
          <w:rFonts w:ascii="宋体" w:hAnsi="宋体" w:cs="宋体"/>
          <w:spacing w:val="10"/>
          <w:sz w:val="24"/>
          <w:szCs w:val="24"/>
        </w:rPr>
        <w:t>2.38</w:t>
      </w:r>
      <w:r>
        <w:rPr>
          <w:rFonts w:hint="eastAsia" w:ascii="宋体" w:hAnsi="宋体" w:cs="宋体"/>
          <w:spacing w:val="10"/>
          <w:sz w:val="24"/>
          <w:szCs w:val="24"/>
        </w:rPr>
        <w:t>万平方米，同比下降</w:t>
      </w:r>
      <w:r>
        <w:rPr>
          <w:rFonts w:ascii="宋体" w:hAnsi="宋体" w:cs="宋体"/>
          <w:spacing w:val="10"/>
          <w:sz w:val="24"/>
          <w:szCs w:val="24"/>
        </w:rPr>
        <w:t>8.67%</w:t>
      </w:r>
      <w:r>
        <w:rPr>
          <w:rFonts w:hint="eastAsia" w:ascii="宋体" w:hAnsi="宋体" w:cs="宋体"/>
          <w:spacing w:val="10"/>
          <w:sz w:val="24"/>
          <w:szCs w:val="24"/>
        </w:rPr>
        <w:t>。房地产企业购地面积增长幅度较大回落，房地产开发企业收缩购地规模，受宏观调控政策和房地产市场供求变化的影响。</w:t>
      </w:r>
    </w:p>
    <w:p>
      <w:pPr>
        <w:widowControl/>
        <w:spacing w:line="440" w:lineRule="exact"/>
        <w:ind w:firstLine="522" w:firstLineChars="200"/>
        <w:rPr>
          <w:rFonts w:ascii="宋体"/>
          <w:b/>
          <w:bCs/>
          <w:spacing w:val="10"/>
          <w:sz w:val="24"/>
          <w:szCs w:val="24"/>
        </w:rPr>
      </w:pPr>
      <w:r>
        <w:rPr>
          <w:rFonts w:hint="eastAsia" w:ascii="宋体" w:hAnsi="宋体" w:cs="宋体"/>
          <w:b/>
          <w:bCs/>
          <w:spacing w:val="10"/>
          <w:sz w:val="24"/>
          <w:szCs w:val="24"/>
        </w:rPr>
        <w:t>二、需注意的问题</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（一）房地产投资资金来源。</w:t>
      </w:r>
      <w:r>
        <w:rPr>
          <w:rFonts w:ascii="宋体" w:hAnsi="宋体" w:cs="宋体"/>
          <w:spacing w:val="10"/>
          <w:sz w:val="24"/>
          <w:szCs w:val="24"/>
        </w:rPr>
        <w:t>1-6</w:t>
      </w:r>
      <w:r>
        <w:rPr>
          <w:rFonts w:hint="eastAsia" w:ascii="宋体" w:hAnsi="宋体" w:cs="宋体"/>
          <w:spacing w:val="10"/>
          <w:sz w:val="24"/>
          <w:szCs w:val="24"/>
        </w:rPr>
        <w:t>月，全市房地产投资实际到位资金</w:t>
      </w:r>
      <w:r>
        <w:rPr>
          <w:rFonts w:ascii="宋体" w:hAnsi="宋体" w:cs="宋体"/>
          <w:spacing w:val="10"/>
          <w:sz w:val="24"/>
          <w:szCs w:val="24"/>
        </w:rPr>
        <w:t>69.48</w:t>
      </w:r>
      <w:r>
        <w:rPr>
          <w:rFonts w:hint="eastAsia" w:ascii="宋体" w:hAnsi="宋体" w:cs="宋体"/>
          <w:spacing w:val="10"/>
          <w:sz w:val="24"/>
          <w:szCs w:val="24"/>
        </w:rPr>
        <w:t>亿元，同比下降</w:t>
      </w:r>
      <w:r>
        <w:rPr>
          <w:rFonts w:ascii="宋体" w:hAnsi="宋体" w:cs="宋体"/>
          <w:spacing w:val="10"/>
          <w:sz w:val="24"/>
          <w:szCs w:val="24"/>
        </w:rPr>
        <w:t>2.85%</w:t>
      </w:r>
      <w:r>
        <w:rPr>
          <w:rFonts w:hint="eastAsia" w:ascii="宋体" w:hAnsi="宋体" w:cs="宋体"/>
          <w:spacing w:val="10"/>
          <w:sz w:val="24"/>
          <w:szCs w:val="24"/>
        </w:rPr>
        <w:t>。其中银行贷款累计仅</w:t>
      </w:r>
      <w:r>
        <w:rPr>
          <w:rFonts w:ascii="宋体" w:hAnsi="宋体" w:cs="宋体"/>
          <w:spacing w:val="10"/>
          <w:sz w:val="24"/>
          <w:szCs w:val="24"/>
        </w:rPr>
        <w:t>3.67</w:t>
      </w:r>
      <w:r>
        <w:rPr>
          <w:rFonts w:hint="eastAsia" w:ascii="宋体" w:hAnsi="宋体" w:cs="宋体"/>
          <w:spacing w:val="10"/>
          <w:sz w:val="24"/>
          <w:szCs w:val="24"/>
        </w:rPr>
        <w:t>亿元，同比下降</w:t>
      </w:r>
      <w:r>
        <w:rPr>
          <w:rFonts w:ascii="宋体" w:hAnsi="宋体" w:cs="宋体"/>
          <w:spacing w:val="10"/>
          <w:sz w:val="24"/>
          <w:szCs w:val="24"/>
        </w:rPr>
        <w:t>42.46%</w:t>
      </w:r>
      <w:r>
        <w:rPr>
          <w:rFonts w:hint="eastAsia" w:ascii="宋体" w:hAnsi="宋体" w:cs="宋体"/>
          <w:spacing w:val="10"/>
          <w:sz w:val="24"/>
          <w:szCs w:val="24"/>
        </w:rPr>
        <w:t>，仅占全部资金来源的</w:t>
      </w:r>
      <w:r>
        <w:rPr>
          <w:rFonts w:ascii="宋体" w:hAnsi="宋体" w:cs="宋体"/>
          <w:spacing w:val="10"/>
          <w:sz w:val="24"/>
          <w:szCs w:val="24"/>
        </w:rPr>
        <w:t>5.28%</w:t>
      </w:r>
      <w:r>
        <w:rPr>
          <w:rFonts w:hint="eastAsia" w:ascii="宋体" w:hAnsi="宋体" w:cs="宋体"/>
          <w:spacing w:val="10"/>
          <w:sz w:val="24"/>
          <w:szCs w:val="24"/>
        </w:rPr>
        <w:t>；企业自筹资金累计</w:t>
      </w:r>
      <w:r>
        <w:rPr>
          <w:rFonts w:ascii="宋体" w:hAnsi="宋体" w:cs="宋体"/>
          <w:spacing w:val="10"/>
          <w:sz w:val="24"/>
          <w:szCs w:val="24"/>
        </w:rPr>
        <w:t>31.27</w:t>
      </w:r>
      <w:r>
        <w:rPr>
          <w:rFonts w:hint="eastAsia" w:ascii="宋体" w:hAnsi="宋体" w:cs="宋体"/>
          <w:spacing w:val="10"/>
          <w:sz w:val="24"/>
          <w:szCs w:val="24"/>
        </w:rPr>
        <w:t>亿元，同比下降</w:t>
      </w:r>
      <w:r>
        <w:rPr>
          <w:rFonts w:ascii="宋体" w:hAnsi="宋体" w:cs="宋体"/>
          <w:spacing w:val="10"/>
          <w:sz w:val="24"/>
          <w:szCs w:val="24"/>
        </w:rPr>
        <w:t>8.62%</w:t>
      </w:r>
      <w:r>
        <w:rPr>
          <w:rFonts w:hint="eastAsia" w:ascii="宋体" w:hAnsi="宋体" w:cs="宋体"/>
          <w:spacing w:val="10"/>
          <w:sz w:val="24"/>
          <w:szCs w:val="24"/>
        </w:rPr>
        <w:t>，占全部资金来源的</w:t>
      </w:r>
      <w:r>
        <w:rPr>
          <w:rFonts w:ascii="宋体" w:hAnsi="宋体" w:cs="宋体"/>
          <w:spacing w:val="10"/>
          <w:sz w:val="24"/>
          <w:szCs w:val="24"/>
        </w:rPr>
        <w:t>45.01%</w:t>
      </w:r>
      <w:r>
        <w:rPr>
          <w:rFonts w:hint="eastAsia" w:ascii="宋体" w:hAnsi="宋体" w:cs="宋体"/>
          <w:spacing w:val="10"/>
          <w:sz w:val="24"/>
          <w:szCs w:val="24"/>
        </w:rPr>
        <w:t>；其他资金（定金、预收款以及个人按揭贷款）</w:t>
      </w:r>
      <w:r>
        <w:rPr>
          <w:rFonts w:ascii="宋体" w:hAnsi="宋体" w:cs="宋体"/>
          <w:spacing w:val="10"/>
          <w:sz w:val="24"/>
          <w:szCs w:val="24"/>
        </w:rPr>
        <w:t>34.49</w:t>
      </w:r>
      <w:r>
        <w:rPr>
          <w:rFonts w:hint="eastAsia" w:ascii="宋体" w:hAnsi="宋体" w:cs="宋体"/>
          <w:spacing w:val="10"/>
          <w:sz w:val="24"/>
          <w:szCs w:val="24"/>
        </w:rPr>
        <w:t>亿元，占全部资金来源的</w:t>
      </w:r>
      <w:r>
        <w:rPr>
          <w:rFonts w:ascii="宋体" w:hAnsi="宋体" w:cs="宋体"/>
          <w:spacing w:val="10"/>
          <w:sz w:val="24"/>
          <w:szCs w:val="24"/>
        </w:rPr>
        <w:t>49.63%</w:t>
      </w:r>
      <w:r>
        <w:rPr>
          <w:rFonts w:hint="eastAsia" w:ascii="宋体" w:hAnsi="宋体" w:cs="宋体"/>
          <w:spacing w:val="10"/>
          <w:sz w:val="24"/>
          <w:szCs w:val="24"/>
        </w:rPr>
        <w:t>。与去年同期相比，国内贷款和企业自筹资金所占比例都有所下降，其他资金占比上升</w:t>
      </w:r>
      <w:r>
        <w:rPr>
          <w:rFonts w:ascii="宋体" w:hAnsi="宋体" w:cs="宋体"/>
          <w:spacing w:val="10"/>
          <w:sz w:val="24"/>
          <w:szCs w:val="24"/>
        </w:rPr>
        <w:t>8.05</w:t>
      </w:r>
      <w:r>
        <w:rPr>
          <w:rFonts w:hint="eastAsia" w:ascii="宋体" w:hAnsi="宋体" w:cs="宋体"/>
          <w:spacing w:val="10"/>
          <w:sz w:val="24"/>
          <w:szCs w:val="24"/>
        </w:rPr>
        <w:t>个百分点，说明投资资金来源比较单一，接近一半的投资资金来自定金、预收款及个人按揭贷款。资金来源的单一严重影响房地产投资的增长后劲。</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（二）房地产市场供需不平衡。市场的供应量大，供应量远远大于需求量。截至目前，经测算，怀化中心城区商品房库存总面积为</w:t>
      </w:r>
      <w:r>
        <w:rPr>
          <w:rFonts w:ascii="宋体" w:hAnsi="宋体" w:cs="宋体"/>
          <w:spacing w:val="10"/>
          <w:sz w:val="24"/>
          <w:szCs w:val="24"/>
        </w:rPr>
        <w:t>598</w:t>
      </w:r>
      <w:r>
        <w:rPr>
          <w:rFonts w:hint="eastAsia" w:ascii="宋体" w:hAnsi="宋体" w:cs="宋体"/>
          <w:spacing w:val="10"/>
          <w:sz w:val="24"/>
          <w:szCs w:val="24"/>
        </w:rPr>
        <w:t>万平方米，库存存量套数为</w:t>
      </w:r>
      <w:r>
        <w:rPr>
          <w:rFonts w:ascii="宋体" w:hAnsi="宋体" w:cs="宋体"/>
          <w:spacing w:val="10"/>
          <w:sz w:val="24"/>
          <w:szCs w:val="24"/>
        </w:rPr>
        <w:t>57038</w:t>
      </w:r>
      <w:r>
        <w:rPr>
          <w:rFonts w:hint="eastAsia" w:ascii="宋体" w:hAnsi="宋体" w:cs="宋体"/>
          <w:spacing w:val="10"/>
          <w:sz w:val="24"/>
          <w:szCs w:val="24"/>
        </w:rPr>
        <w:t>套，对开发商造成一定的开发压力。</w:t>
      </w:r>
    </w:p>
    <w:p>
      <w:pPr>
        <w:widowControl/>
        <w:spacing w:line="440" w:lineRule="exact"/>
        <w:ind w:firstLine="522" w:firstLineChars="200"/>
        <w:rPr>
          <w:rFonts w:ascii="宋体"/>
          <w:b/>
          <w:bCs/>
          <w:spacing w:val="10"/>
          <w:sz w:val="24"/>
          <w:szCs w:val="24"/>
        </w:rPr>
      </w:pPr>
      <w:r>
        <w:rPr>
          <w:rFonts w:hint="eastAsia" w:ascii="宋体" w:hAnsi="宋体" w:cs="宋体"/>
          <w:b/>
          <w:bCs/>
          <w:spacing w:val="10"/>
          <w:sz w:val="24"/>
          <w:szCs w:val="24"/>
        </w:rPr>
        <w:t>三、怀化市房地产市场利好政策及市场预期</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（一）根据市政府决策布署，由市住房和城乡</w:t>
      </w:r>
      <w:r>
        <w:rPr>
          <w:rFonts w:hint="eastAsia" w:ascii="宋体" w:hAnsi="宋体" w:cs="宋体"/>
          <w:spacing w:val="10"/>
          <w:sz w:val="24"/>
          <w:szCs w:val="24"/>
          <w:lang w:eastAsia="zh-CN"/>
        </w:rPr>
        <w:t>怀化高新技术产业开发区</w:t>
      </w:r>
      <w:r>
        <w:rPr>
          <w:rFonts w:hint="eastAsia" w:ascii="宋体" w:hAnsi="宋体" w:cs="宋体"/>
          <w:spacing w:val="10"/>
          <w:sz w:val="24"/>
          <w:szCs w:val="24"/>
        </w:rPr>
        <w:t>牵头起草了《怀化市中心城区房地产市场供给侧结构性改革工作方案（</w:t>
      </w:r>
      <w:r>
        <w:rPr>
          <w:rFonts w:ascii="宋体" w:hAnsi="宋体" w:cs="宋体"/>
          <w:spacing w:val="10"/>
          <w:sz w:val="24"/>
          <w:szCs w:val="24"/>
        </w:rPr>
        <w:t>2016——2018</w:t>
      </w:r>
      <w:r>
        <w:rPr>
          <w:rFonts w:hint="eastAsia" w:ascii="宋体" w:hAnsi="宋体" w:cs="宋体"/>
          <w:spacing w:val="10"/>
          <w:sz w:val="24"/>
          <w:szCs w:val="24"/>
        </w:rPr>
        <w:t>年）》（草案），已经市长办公会议研究讨论，现正在完善。该工作方案提出了一揽子解决我市城区房地产市场供给侧结构性改革工作措施，引导村民安置房项目货币化安置、全面实行国有土地上棚改货币安置、推进农业转移人口市民化、满足城市新增人口住房刚性需求、加大城区房地产开发历史遗留问题调处、出台优惠政策促进住房消费等综合施策，提升房地产项目开发水平、积极推动我市住宅产业化发展。未来几年我市中心城区房地产市场管理基本目标是</w:t>
      </w:r>
      <w:r>
        <w:rPr>
          <w:rFonts w:hint="eastAsia" w:ascii="宋体" w:cs="宋体"/>
          <w:spacing w:val="10"/>
          <w:sz w:val="24"/>
          <w:szCs w:val="24"/>
        </w:rPr>
        <w:t>“</w:t>
      </w:r>
      <w:r>
        <w:rPr>
          <w:rFonts w:hint="eastAsia" w:ascii="宋体" w:hAnsi="宋体" w:cs="宋体"/>
          <w:spacing w:val="10"/>
          <w:sz w:val="24"/>
          <w:szCs w:val="24"/>
        </w:rPr>
        <w:t>用好政策盘存量，科学管控稳增量</w:t>
      </w:r>
      <w:r>
        <w:rPr>
          <w:rFonts w:hint="eastAsia" w:ascii="宋体" w:cs="宋体"/>
          <w:spacing w:val="10"/>
          <w:sz w:val="24"/>
          <w:szCs w:val="24"/>
        </w:rPr>
        <w:t>”</w:t>
      </w:r>
      <w:r>
        <w:rPr>
          <w:rFonts w:hint="eastAsia" w:ascii="宋体" w:hAnsi="宋体" w:cs="宋体"/>
          <w:spacing w:val="10"/>
          <w:sz w:val="24"/>
          <w:szCs w:val="24"/>
        </w:rPr>
        <w:t>，怀化市中心城区商品房库存规模逐步减少，房地产开发历史遗留问题基本化解，房地产项目开发水平不断提升。</w:t>
      </w:r>
    </w:p>
    <w:p>
      <w:pPr>
        <w:widowControl/>
        <w:spacing w:line="440" w:lineRule="exact"/>
        <w:ind w:firstLine="480" w:firstLineChars="200"/>
        <w:rPr>
          <w:rFonts w:ascii="宋体"/>
          <w:spacing w:val="10"/>
          <w:sz w:val="24"/>
          <w:szCs w:val="24"/>
        </w:rPr>
      </w:pPr>
      <w:r>
        <w:rPr>
          <w:rFonts w:hint="eastAsia" w:ascii="宋体" w:hAnsi="宋体" w:cs="宋体"/>
          <w:color w:val="000000"/>
          <w:kern w:val="0"/>
          <w:sz w:val="24"/>
          <w:szCs w:val="24"/>
          <w:shd w:val="clear" w:color="auto" w:fill="FFFFFF"/>
        </w:rPr>
        <w:t>（</w:t>
      </w:r>
      <w:r>
        <w:rPr>
          <w:rFonts w:hint="eastAsia" w:ascii="宋体" w:hAnsi="宋体" w:cs="宋体"/>
          <w:spacing w:val="10"/>
          <w:sz w:val="24"/>
          <w:szCs w:val="24"/>
        </w:rPr>
        <w:t>二）市委市政府加大地产招商力度，引进有实力强大的企业及知名品牌，仅</w:t>
      </w:r>
      <w:r>
        <w:rPr>
          <w:rFonts w:hint="eastAsia" w:ascii="宋体" w:cs="宋体"/>
          <w:spacing w:val="10"/>
          <w:sz w:val="24"/>
          <w:szCs w:val="24"/>
        </w:rPr>
        <w:t>“</w:t>
      </w:r>
      <w:r>
        <w:rPr>
          <w:rFonts w:hint="eastAsia" w:ascii="宋体" w:hAnsi="宋体" w:cs="宋体"/>
          <w:spacing w:val="10"/>
          <w:sz w:val="24"/>
          <w:szCs w:val="24"/>
        </w:rPr>
        <w:t>恒大帝景</w:t>
      </w:r>
      <w:r>
        <w:rPr>
          <w:rFonts w:hint="eastAsia" w:ascii="宋体" w:cs="宋体"/>
          <w:spacing w:val="10"/>
          <w:sz w:val="24"/>
          <w:szCs w:val="24"/>
        </w:rPr>
        <w:t>”</w:t>
      </w:r>
      <w:r>
        <w:rPr>
          <w:rFonts w:hint="eastAsia" w:ascii="宋体" w:hAnsi="宋体" w:cs="宋体"/>
          <w:spacing w:val="10"/>
          <w:sz w:val="24"/>
          <w:szCs w:val="24"/>
        </w:rPr>
        <w:t>和</w:t>
      </w:r>
      <w:r>
        <w:rPr>
          <w:rFonts w:hint="eastAsia" w:ascii="宋体" w:cs="宋体"/>
          <w:spacing w:val="10"/>
          <w:sz w:val="24"/>
          <w:szCs w:val="24"/>
        </w:rPr>
        <w:t>“</w:t>
      </w:r>
      <w:r>
        <w:rPr>
          <w:rFonts w:hint="eastAsia" w:ascii="宋体" w:hAnsi="宋体" w:cs="宋体"/>
          <w:spacing w:val="10"/>
          <w:sz w:val="24"/>
          <w:szCs w:val="24"/>
        </w:rPr>
        <w:t>碧桂园</w:t>
      </w:r>
      <w:r>
        <w:rPr>
          <w:rFonts w:hint="eastAsia" w:ascii="宋体" w:cs="宋体"/>
          <w:spacing w:val="10"/>
          <w:sz w:val="24"/>
          <w:szCs w:val="24"/>
        </w:rPr>
        <w:t>”</w:t>
      </w:r>
      <w:r>
        <w:rPr>
          <w:rFonts w:hint="eastAsia" w:ascii="宋体" w:hAnsi="宋体" w:cs="宋体"/>
          <w:spacing w:val="10"/>
          <w:sz w:val="24"/>
          <w:szCs w:val="24"/>
        </w:rPr>
        <w:t>两个项目就引进资金约</w:t>
      </w:r>
      <w:r>
        <w:rPr>
          <w:rFonts w:ascii="宋体" w:hAnsi="宋体" w:cs="宋体"/>
          <w:spacing w:val="10"/>
          <w:sz w:val="24"/>
          <w:szCs w:val="24"/>
        </w:rPr>
        <w:t>25</w:t>
      </w:r>
      <w:r>
        <w:rPr>
          <w:rFonts w:hint="eastAsia" w:ascii="宋体" w:hAnsi="宋体" w:cs="宋体"/>
          <w:spacing w:val="10"/>
          <w:sz w:val="24"/>
          <w:szCs w:val="24"/>
        </w:rPr>
        <w:t>亿元，目前已完成投资约</w:t>
      </w:r>
      <w:r>
        <w:rPr>
          <w:rFonts w:ascii="宋体" w:hAnsi="宋体" w:cs="宋体"/>
          <w:spacing w:val="10"/>
          <w:sz w:val="24"/>
          <w:szCs w:val="24"/>
        </w:rPr>
        <w:t>8</w:t>
      </w:r>
      <w:r>
        <w:rPr>
          <w:rFonts w:hint="eastAsia" w:ascii="宋体" w:hAnsi="宋体" w:cs="宋体"/>
          <w:spacing w:val="10"/>
          <w:sz w:val="24"/>
          <w:szCs w:val="24"/>
        </w:rPr>
        <w:t>亿元，高品质项目的推进，带动了全市房地产开发投资，优化了房地产结构。</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（三）在去库存的推动下，在楼市环境整体向好的背景下，品牌房企、中高端项目政策利好明显，去化速度较快，诸多品质楼盘也相继推出新品和诸多优惠，恒大帝景、</w:t>
      </w:r>
      <w:r>
        <w:rPr>
          <w:rFonts w:ascii="宋体" w:hAnsi="宋体" w:cs="宋体"/>
          <w:spacing w:val="10"/>
          <w:sz w:val="24"/>
          <w:szCs w:val="24"/>
        </w:rPr>
        <w:t xml:space="preserve"> </w:t>
      </w:r>
      <w:r>
        <w:rPr>
          <w:rFonts w:hint="eastAsia" w:ascii="宋体" w:hAnsi="宋体" w:cs="宋体"/>
          <w:spacing w:val="10"/>
          <w:sz w:val="24"/>
          <w:szCs w:val="24"/>
        </w:rPr>
        <w:t>碧桂园、宏宇新城、盛世华都、岳麓欧城等项目均有优惠及活动推出。从市场整体情况来看，我市房企销售明显出现分化，高品质楼盘销售良好，开发企业以人为本，做好产品才是取胜的关键。据市房产局信息，截至</w:t>
      </w:r>
      <w:r>
        <w:rPr>
          <w:rFonts w:ascii="宋体" w:hAnsi="宋体" w:cs="宋体"/>
          <w:spacing w:val="10"/>
          <w:sz w:val="24"/>
          <w:szCs w:val="24"/>
        </w:rPr>
        <w:t>5</w:t>
      </w:r>
      <w:r>
        <w:rPr>
          <w:rFonts w:hint="eastAsia" w:ascii="宋体" w:hAnsi="宋体" w:cs="宋体"/>
          <w:spacing w:val="10"/>
          <w:sz w:val="24"/>
          <w:szCs w:val="24"/>
        </w:rPr>
        <w:t>月底，怀化市去库存进度在全省排第三位。</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今年</w:t>
      </w:r>
      <w:r>
        <w:rPr>
          <w:rFonts w:ascii="宋体" w:hAnsi="宋体" w:cs="宋体"/>
          <w:spacing w:val="10"/>
          <w:sz w:val="24"/>
          <w:szCs w:val="24"/>
        </w:rPr>
        <w:t xml:space="preserve">7 </w:t>
      </w:r>
      <w:r>
        <w:rPr>
          <w:rFonts w:hint="eastAsia" w:ascii="宋体" w:hAnsi="宋体" w:cs="宋体"/>
          <w:spacing w:val="10"/>
          <w:sz w:val="24"/>
          <w:szCs w:val="24"/>
        </w:rPr>
        <w:t>月</w:t>
      </w:r>
      <w:r>
        <w:rPr>
          <w:rFonts w:ascii="宋体" w:hAnsi="宋体" w:cs="宋体"/>
          <w:spacing w:val="10"/>
          <w:sz w:val="24"/>
          <w:szCs w:val="24"/>
        </w:rPr>
        <w:t xml:space="preserve">1 </w:t>
      </w:r>
      <w:r>
        <w:rPr>
          <w:rFonts w:hint="eastAsia" w:ascii="宋体" w:hAnsi="宋体" w:cs="宋体"/>
          <w:spacing w:val="10"/>
          <w:sz w:val="24"/>
          <w:szCs w:val="24"/>
        </w:rPr>
        <w:t>日至</w:t>
      </w:r>
      <w:r>
        <w:rPr>
          <w:rFonts w:ascii="宋体" w:hAnsi="宋体" w:cs="宋体"/>
          <w:spacing w:val="10"/>
          <w:sz w:val="24"/>
          <w:szCs w:val="24"/>
        </w:rPr>
        <w:t xml:space="preserve">5 </w:t>
      </w:r>
      <w:r>
        <w:rPr>
          <w:rFonts w:hint="eastAsia" w:ascii="宋体" w:hAnsi="宋体" w:cs="宋体"/>
          <w:spacing w:val="10"/>
          <w:sz w:val="24"/>
          <w:szCs w:val="24"/>
        </w:rPr>
        <w:t>日，市政府在怀化国际会展中心成功举办怀化市第十届房地产交易会。本届房交会共成交商品房</w:t>
      </w:r>
      <w:r>
        <w:rPr>
          <w:rFonts w:ascii="宋体" w:hAnsi="宋体" w:cs="宋体"/>
          <w:spacing w:val="10"/>
          <w:sz w:val="24"/>
          <w:szCs w:val="24"/>
        </w:rPr>
        <w:t>1068</w:t>
      </w:r>
      <w:r>
        <w:rPr>
          <w:rFonts w:hint="eastAsia" w:ascii="宋体" w:hAnsi="宋体" w:cs="宋体"/>
          <w:spacing w:val="10"/>
          <w:sz w:val="24"/>
          <w:szCs w:val="24"/>
        </w:rPr>
        <w:t>套（其中住房</w:t>
      </w:r>
      <w:r>
        <w:rPr>
          <w:rFonts w:ascii="宋体" w:hAnsi="宋体" w:cs="宋体"/>
          <w:spacing w:val="10"/>
          <w:sz w:val="24"/>
          <w:szCs w:val="24"/>
        </w:rPr>
        <w:t>854</w:t>
      </w:r>
      <w:r>
        <w:rPr>
          <w:rFonts w:hint="eastAsia" w:ascii="宋体" w:hAnsi="宋体" w:cs="宋体"/>
          <w:spacing w:val="10"/>
          <w:sz w:val="24"/>
          <w:szCs w:val="24"/>
        </w:rPr>
        <w:t>套，住宅门面</w:t>
      </w:r>
      <w:r>
        <w:rPr>
          <w:rFonts w:ascii="宋体" w:hAnsi="宋体" w:cs="宋体"/>
          <w:spacing w:val="10"/>
          <w:sz w:val="24"/>
          <w:szCs w:val="24"/>
        </w:rPr>
        <w:t>214</w:t>
      </w:r>
      <w:r>
        <w:rPr>
          <w:rFonts w:hint="eastAsia" w:ascii="宋体" w:hAnsi="宋体" w:cs="宋体"/>
          <w:spacing w:val="10"/>
          <w:sz w:val="24"/>
          <w:szCs w:val="24"/>
        </w:rPr>
        <w:t>间）；成交面积</w:t>
      </w:r>
      <w:r>
        <w:rPr>
          <w:rFonts w:ascii="宋体" w:hAnsi="宋体" w:cs="宋体"/>
          <w:spacing w:val="10"/>
          <w:sz w:val="24"/>
          <w:szCs w:val="24"/>
        </w:rPr>
        <w:t>13.46</w:t>
      </w:r>
      <w:r>
        <w:rPr>
          <w:rFonts w:hint="eastAsia" w:ascii="宋体" w:hAnsi="宋体" w:cs="宋体"/>
          <w:spacing w:val="10"/>
          <w:sz w:val="24"/>
          <w:szCs w:val="24"/>
        </w:rPr>
        <w:t>万平方米（其中住房</w:t>
      </w:r>
      <w:r>
        <w:rPr>
          <w:rFonts w:ascii="宋体" w:hAnsi="宋体" w:cs="宋体"/>
          <w:spacing w:val="10"/>
          <w:sz w:val="24"/>
          <w:szCs w:val="24"/>
        </w:rPr>
        <w:t>122830</w:t>
      </w:r>
      <w:r>
        <w:rPr>
          <w:rFonts w:hint="eastAsia" w:ascii="宋体" w:hAnsi="宋体" w:cs="宋体"/>
          <w:spacing w:val="10"/>
          <w:sz w:val="24"/>
          <w:szCs w:val="24"/>
        </w:rPr>
        <w:t>平方米，住宅门面</w:t>
      </w:r>
      <w:r>
        <w:rPr>
          <w:rFonts w:ascii="宋体" w:hAnsi="宋体" w:cs="宋体"/>
          <w:spacing w:val="10"/>
          <w:sz w:val="24"/>
          <w:szCs w:val="24"/>
        </w:rPr>
        <w:t>11770</w:t>
      </w:r>
      <w:r>
        <w:rPr>
          <w:rFonts w:hint="eastAsia" w:ascii="宋体" w:hAnsi="宋体" w:cs="宋体"/>
          <w:spacing w:val="10"/>
          <w:sz w:val="24"/>
          <w:szCs w:val="24"/>
        </w:rPr>
        <w:t>平方米）；成交总金额达</w:t>
      </w:r>
      <w:r>
        <w:rPr>
          <w:rFonts w:ascii="宋体" w:hAnsi="宋体" w:cs="宋体"/>
          <w:spacing w:val="10"/>
          <w:sz w:val="24"/>
          <w:szCs w:val="24"/>
        </w:rPr>
        <w:t>10.82</w:t>
      </w:r>
      <w:r>
        <w:rPr>
          <w:rFonts w:hint="eastAsia" w:ascii="宋体" w:hAnsi="宋体" w:cs="宋体"/>
          <w:spacing w:val="10"/>
          <w:sz w:val="24"/>
          <w:szCs w:val="24"/>
        </w:rPr>
        <w:t>亿元；看房购房观展人数达到</w:t>
      </w:r>
      <w:r>
        <w:rPr>
          <w:rFonts w:ascii="宋体" w:hAnsi="宋体" w:cs="宋体"/>
          <w:spacing w:val="10"/>
          <w:sz w:val="24"/>
          <w:szCs w:val="24"/>
        </w:rPr>
        <w:t>9.35</w:t>
      </w:r>
      <w:r>
        <w:rPr>
          <w:rFonts w:hint="eastAsia" w:ascii="宋体" w:hAnsi="宋体" w:cs="宋体"/>
          <w:spacing w:val="10"/>
          <w:sz w:val="24"/>
          <w:szCs w:val="24"/>
        </w:rPr>
        <w:t>万人次，本届房交会商品房成交套数、成交面积、成交金额以及观展人次均创历年房交会之最。本届房交会在企业和消费者之间搭建起了诚信沟通、圆梦安居的平台，为广大市民改善型购房需求提供优惠和便利，充分凸显了惠民便民利民的办会宗旨</w:t>
      </w:r>
      <w:r>
        <w:rPr>
          <w:rFonts w:ascii="宋体" w:cs="宋体"/>
          <w:spacing w:val="10"/>
          <w:sz w:val="24"/>
          <w:szCs w:val="24"/>
        </w:rPr>
        <w:t>,</w:t>
      </w:r>
      <w:r>
        <w:rPr>
          <w:rFonts w:hint="eastAsia" w:ascii="宋体" w:hAnsi="宋体" w:cs="宋体"/>
          <w:spacing w:val="10"/>
          <w:sz w:val="24"/>
          <w:szCs w:val="24"/>
        </w:rPr>
        <w:t>更是怀化房地产市场去库存、强动力的有力措施。</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在促进怀化市房地产平稳健康发展以及推进商品房去库存政策措施推动下，预计怀化市房地产市场将继续保持平稳的态势。</w:t>
      </w:r>
    </w:p>
    <w:p>
      <w:pPr>
        <w:widowControl/>
        <w:spacing w:line="440" w:lineRule="exact"/>
        <w:ind w:firstLine="520" w:firstLineChars="200"/>
        <w:rPr>
          <w:rFonts w:ascii="宋体"/>
          <w:spacing w:val="10"/>
          <w:sz w:val="24"/>
          <w:szCs w:val="24"/>
        </w:rPr>
      </w:pPr>
      <w:r>
        <w:rPr>
          <w:rFonts w:ascii="宋体" w:hAnsi="宋体" w:cs="宋体"/>
          <w:spacing w:val="10"/>
          <w:sz w:val="24"/>
          <w:szCs w:val="24"/>
        </w:rPr>
        <w:t>1</w:t>
      </w:r>
      <w:r>
        <w:rPr>
          <w:rFonts w:hint="eastAsia" w:ascii="宋体" w:hAnsi="宋体" w:cs="宋体"/>
          <w:spacing w:val="10"/>
          <w:sz w:val="24"/>
          <w:szCs w:val="24"/>
        </w:rPr>
        <w:t>、房地产开发投资增长速度放缓。除大型的房地产龙头开发企业仍充满信心，开发热情持续，积极打造品牌项目外，部分中小开发商仍持观望状态，开工积极性不足。总体来讲，我市房地产市场会进入一个更理性发展的新阶段，将淘汰一批规模小、资质低、配套和户型差的房地产开发企业和项目。</w:t>
      </w:r>
    </w:p>
    <w:p>
      <w:pPr>
        <w:widowControl/>
        <w:spacing w:line="440" w:lineRule="exact"/>
        <w:ind w:firstLine="520" w:firstLineChars="200"/>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商品房销售态势良好。降首付、降契税营业税等新政激发了居民购房意愿，在多重利好政策的刺激下，居民购房热情上升，农民工进城、家庭小型化导致市场需求增加，但知名房地产开发企业的品牌项目仍占据市场销售主要份额，购房者在选购时，更注重选择高品质的优秀楼盘。</w:t>
      </w:r>
    </w:p>
    <w:p>
      <w:pPr>
        <w:widowControl/>
        <w:spacing w:line="440" w:lineRule="exact"/>
        <w:ind w:firstLine="520" w:firstLineChars="200"/>
        <w:rPr>
          <w:rFonts w:ascii="宋体"/>
          <w:spacing w:val="10"/>
          <w:sz w:val="24"/>
          <w:szCs w:val="24"/>
        </w:rPr>
      </w:pPr>
      <w:r>
        <w:rPr>
          <w:rFonts w:ascii="宋体" w:hAnsi="宋体" w:cs="宋体"/>
          <w:spacing w:val="10"/>
          <w:sz w:val="24"/>
          <w:szCs w:val="24"/>
        </w:rPr>
        <w:t>3</w:t>
      </w:r>
      <w:r>
        <w:rPr>
          <w:rFonts w:hint="eastAsia" w:ascii="宋体" w:hAnsi="宋体" w:cs="宋体"/>
          <w:spacing w:val="10"/>
          <w:sz w:val="24"/>
          <w:szCs w:val="24"/>
        </w:rPr>
        <w:t>、房价将稳步持中，不会出现下降，也不会暴涨。一是市场调控依然存在；二是保障性住房和棚户区改造住房的增加；三是购买者越来越理性，对住房的性价比要求越来越高。</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附件：</w:t>
      </w:r>
      <w:r>
        <w:rPr>
          <w:rFonts w:ascii="宋体" w:hAnsi="宋体" w:cs="宋体"/>
          <w:spacing w:val="10"/>
          <w:sz w:val="24"/>
          <w:szCs w:val="24"/>
        </w:rPr>
        <w:t>2016</w:t>
      </w:r>
      <w:r>
        <w:rPr>
          <w:rFonts w:hint="eastAsia" w:ascii="宋体" w:hAnsi="宋体" w:cs="宋体"/>
          <w:spacing w:val="10"/>
          <w:sz w:val="24"/>
          <w:szCs w:val="24"/>
        </w:rPr>
        <w:t>年上半年怀化市房地产投资销售情况表</w:t>
      </w:r>
    </w:p>
    <w:p>
      <w:pPr>
        <w:pStyle w:val="37"/>
        <w:spacing w:before="0" w:beforeAutospacing="0" w:after="0" w:afterAutospacing="0" w:line="360" w:lineRule="auto"/>
        <w:rPr>
          <w:rFonts w:cs="Times New Roman"/>
          <w:b/>
          <w:bCs/>
        </w:rPr>
      </w:pPr>
      <w:r>
        <w:rPr>
          <w:rFonts w:hint="eastAsia" w:ascii="宋体" w:cs="Times New Roman"/>
          <w:spacing w:val="10"/>
        </w:rPr>
        <w:drawing>
          <wp:inline distT="0" distB="0" distL="114300" distR="114300">
            <wp:extent cx="5324475" cy="3989705"/>
            <wp:effectExtent l="0" t="0" r="9525" b="10795"/>
            <wp:docPr id="5" name="图片 1" descr="2222222222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22222222222222222222"/>
                    <pic:cNvPicPr>
                      <a:picLocks noChangeAspect="1"/>
                    </pic:cNvPicPr>
                  </pic:nvPicPr>
                  <pic:blipFill>
                    <a:blip r:embed="rId7"/>
                    <a:stretch>
                      <a:fillRect/>
                    </a:stretch>
                  </pic:blipFill>
                  <pic:spPr>
                    <a:xfrm>
                      <a:off x="0" y="0"/>
                      <a:ext cx="5324475" cy="3989705"/>
                    </a:xfrm>
                    <a:prstGeom prst="rect">
                      <a:avLst/>
                    </a:prstGeom>
                    <a:noFill/>
                    <a:ln>
                      <a:noFill/>
                    </a:ln>
                  </pic:spPr>
                </pic:pic>
              </a:graphicData>
            </a:graphic>
          </wp:inline>
        </w:drawing>
      </w:r>
      <w:r>
        <w:rPr>
          <w:rFonts w:hint="eastAsia" w:ascii="宋体" w:hAnsi="宋体" w:cs="宋体"/>
          <w:b/>
          <w:bCs/>
        </w:rPr>
        <w:t>三、估价对象最高最佳利用分析</w:t>
      </w:r>
    </w:p>
    <w:p>
      <w:pPr>
        <w:widowControl/>
        <w:spacing w:line="360" w:lineRule="auto"/>
        <w:ind w:firstLine="480" w:firstLineChars="200"/>
        <w:rPr>
          <w:rFonts w:ascii="宋体"/>
          <w:sz w:val="24"/>
          <w:szCs w:val="24"/>
        </w:rPr>
      </w:pPr>
      <w:r>
        <w:rPr>
          <w:rFonts w:hint="eastAsia" w:ascii="宋体" w:hAnsi="宋体" w:cs="宋体"/>
          <w:sz w:val="24"/>
          <w:szCs w:val="24"/>
        </w:rPr>
        <w:t>最高最佳利用原则要求估价结果是在估价对象最高最佳利用状况下的价值或价格，房地产估价要以房地产的最高最佳利用为前提。所谓最高最佳利用，是估价对象的一种最可能的使用，这种最可能的使用是法律上允许、技术上可能、财务上可行并使价值最大的合理、可能的利用，包括最佳的用途、规模和档次等。</w:t>
      </w:r>
    </w:p>
    <w:p>
      <w:pPr>
        <w:pStyle w:val="31"/>
        <w:widowControl/>
        <w:spacing w:line="360" w:lineRule="auto"/>
        <w:ind w:firstLine="480"/>
        <w:rPr>
          <w:rFonts w:ascii="宋体" w:hAnsi="宋体" w:eastAsia="宋体" w:cs="Times New Roman"/>
          <w:spacing w:val="0"/>
        </w:rPr>
      </w:pPr>
      <w:r>
        <w:rPr>
          <w:rFonts w:hint="eastAsia" w:ascii="宋体" w:hAnsi="宋体" w:eastAsia="宋体" w:cs="宋体"/>
          <w:spacing w:val="0"/>
        </w:rPr>
        <w:t>综合分析估价对象地理位置、周边自然与人文、经济环境及其实际特点，并结合估价对象实际情况具体分析如下：</w:t>
      </w:r>
    </w:p>
    <w:p>
      <w:pPr>
        <w:pStyle w:val="31"/>
        <w:widowControl/>
        <w:spacing w:line="360" w:lineRule="auto"/>
        <w:ind w:firstLine="480"/>
        <w:rPr>
          <w:rFonts w:ascii="宋体" w:hAnsi="宋体" w:eastAsia="宋体" w:cs="Times New Roman"/>
          <w:spacing w:val="0"/>
        </w:rPr>
      </w:pPr>
      <w:r>
        <w:rPr>
          <w:rFonts w:ascii="宋体" w:hAnsi="宋体" w:eastAsia="宋体" w:cs="宋体"/>
          <w:spacing w:val="0"/>
        </w:rPr>
        <w:t>1.</w:t>
      </w:r>
      <w:r>
        <w:rPr>
          <w:rFonts w:hint="eastAsia" w:ascii="宋体" w:hAnsi="宋体" w:eastAsia="宋体" w:cs="宋体"/>
          <w:spacing w:val="0"/>
        </w:rPr>
        <w:t>法律上是否允许：从法律上看，估价对象登记用途为商业用房，符合法律法规的相关规定，故作商业用房为法律上允许；</w:t>
      </w:r>
    </w:p>
    <w:p>
      <w:pPr>
        <w:pStyle w:val="31"/>
        <w:widowControl/>
        <w:spacing w:line="360" w:lineRule="auto"/>
        <w:ind w:firstLine="480"/>
        <w:rPr>
          <w:rFonts w:ascii="宋体" w:hAnsi="宋体" w:eastAsia="宋体" w:cs="Times New Roman"/>
          <w:spacing w:val="0"/>
        </w:rPr>
      </w:pPr>
      <w:r>
        <w:rPr>
          <w:rFonts w:ascii="宋体" w:hAnsi="宋体" w:eastAsia="宋体" w:cs="宋体"/>
          <w:spacing w:val="0"/>
        </w:rPr>
        <w:t>2.</w:t>
      </w:r>
      <w:r>
        <w:rPr>
          <w:rFonts w:hint="eastAsia" w:ascii="宋体" w:hAnsi="宋体" w:eastAsia="宋体" w:cs="宋体"/>
          <w:spacing w:val="0"/>
        </w:rPr>
        <w:t>技术上是否可能：是对于法律上允许的每种利用，要检查它在技术是否能够实现。从技术上看，估价对象的格局功能、配套设施均为针对商业及车库设计建造，成新率尚好，无需进行技术改造；</w:t>
      </w:r>
    </w:p>
    <w:p>
      <w:pPr>
        <w:pStyle w:val="31"/>
        <w:widowControl/>
        <w:spacing w:line="360" w:lineRule="auto"/>
        <w:ind w:firstLine="480"/>
        <w:rPr>
          <w:rFonts w:ascii="宋体" w:hAnsi="宋体" w:eastAsia="宋体" w:cs="宋体"/>
          <w:spacing w:val="0"/>
        </w:rPr>
      </w:pPr>
      <w:r>
        <w:rPr>
          <w:rFonts w:ascii="宋体" w:hAnsi="宋体" w:eastAsia="宋体" w:cs="宋体"/>
          <w:spacing w:val="0"/>
        </w:rPr>
        <w:t>3.</w:t>
      </w:r>
      <w:r>
        <w:rPr>
          <w:rFonts w:hint="eastAsia" w:ascii="宋体" w:hAnsi="宋体" w:eastAsia="宋体" w:cs="宋体"/>
          <w:spacing w:val="0"/>
        </w:rPr>
        <w:t>财务上是否可行：是对于法律上允许且技术上可能的每种利用，进行经济可行性检验。经济可行性检验一般做法，是针对每种利用，比较预测它未来的收入现值和支出现值，只有收入现值大于或等于支出现值的利用才具有经济可行性。经分析，估价对象作为商业用房使用，预测未来的收入现值大于支出现值，财务上可行；</w:t>
      </w:r>
      <w:r>
        <w:rPr>
          <w:rFonts w:ascii="宋体" w:hAnsi="宋体" w:eastAsia="宋体" w:cs="宋体"/>
          <w:spacing w:val="0"/>
        </w:rPr>
        <w:t xml:space="preserve"> </w:t>
      </w:r>
    </w:p>
    <w:p>
      <w:pPr>
        <w:pStyle w:val="31"/>
        <w:widowControl/>
        <w:spacing w:line="360" w:lineRule="auto"/>
        <w:ind w:firstLine="480"/>
        <w:rPr>
          <w:rFonts w:ascii="宋体" w:hAnsi="宋体" w:eastAsia="宋体" w:cs="Times New Roman"/>
          <w:spacing w:val="0"/>
        </w:rPr>
      </w:pPr>
      <w:r>
        <w:rPr>
          <w:rFonts w:ascii="宋体" w:hAnsi="宋体" w:eastAsia="宋体" w:cs="宋体"/>
          <w:spacing w:val="0"/>
        </w:rPr>
        <w:t>4.</w:t>
      </w:r>
      <w:r>
        <w:rPr>
          <w:rFonts w:hint="eastAsia" w:ascii="宋体" w:hAnsi="宋体" w:eastAsia="宋体" w:cs="宋体"/>
          <w:spacing w:val="0"/>
        </w:rPr>
        <w:t>价值是否达到最大化：在满足法律上许可，技术上可行，财务上可行的前提下，估价对象做商业及车库用途、现有规模及档次下使用才能使其价值达到最大化，且其他用途均不能获取高于在此前提下使用的综合利益。</w:t>
      </w:r>
    </w:p>
    <w:p>
      <w:pPr>
        <w:pStyle w:val="31"/>
        <w:widowControl/>
        <w:spacing w:line="360" w:lineRule="auto"/>
        <w:ind w:firstLine="480"/>
        <w:rPr>
          <w:rFonts w:ascii="宋体" w:hAnsi="宋体" w:eastAsia="宋体" w:cs="Times New Roman"/>
          <w:spacing w:val="0"/>
        </w:rPr>
      </w:pPr>
      <w:r>
        <w:rPr>
          <w:rFonts w:hint="eastAsia" w:ascii="宋体" w:hAnsi="宋体" w:eastAsia="宋体" w:cs="宋体"/>
          <w:spacing w:val="0"/>
        </w:rPr>
        <w:t>结合上述分析结论，最后确定估价对象以商业用途继续使用为其最高最佳利用。</w:t>
      </w:r>
    </w:p>
    <w:p>
      <w:pPr>
        <w:spacing w:line="360" w:lineRule="auto"/>
        <w:rPr>
          <w:b/>
          <w:bCs/>
          <w:sz w:val="24"/>
          <w:szCs w:val="24"/>
        </w:rPr>
      </w:pPr>
      <w:r>
        <w:rPr>
          <w:rFonts w:hint="eastAsia" w:cs="宋体"/>
          <w:b/>
          <w:bCs/>
          <w:sz w:val="24"/>
          <w:szCs w:val="24"/>
        </w:rPr>
        <w:t>四、估价方法适用性分析</w:t>
      </w:r>
    </w:p>
    <w:p>
      <w:pPr>
        <w:widowControl/>
        <w:spacing w:line="440" w:lineRule="exact"/>
        <w:ind w:firstLine="520" w:firstLineChars="200"/>
        <w:rPr>
          <w:rFonts w:ascii="宋体"/>
          <w:spacing w:val="10"/>
          <w:sz w:val="24"/>
          <w:szCs w:val="24"/>
        </w:rPr>
      </w:pPr>
      <w:r>
        <w:rPr>
          <w:rFonts w:hint="eastAsia" w:ascii="宋体" w:hAnsi="宋体" w:cs="宋体"/>
          <w:spacing w:val="10"/>
          <w:sz w:val="24"/>
          <w:szCs w:val="24"/>
        </w:rPr>
        <w:t>房地产估价应当采用科学的估价方法进行严谨的测算，常用的估价方法有比较法、收益法、成本法、假设开发法等，对估价对象宜同时选用所有适用的估价方法进行估价。</w:t>
      </w:r>
    </w:p>
    <w:p>
      <w:pPr>
        <w:widowControl/>
        <w:spacing w:line="440" w:lineRule="exact"/>
        <w:ind w:firstLine="520" w:firstLineChars="200"/>
        <w:rPr>
          <w:rFonts w:ascii="宋体"/>
          <w:spacing w:val="10"/>
          <w:sz w:val="24"/>
          <w:szCs w:val="24"/>
        </w:rPr>
      </w:pPr>
      <w:r>
        <w:rPr>
          <w:rFonts w:ascii="宋体" w:hAnsi="宋体" w:cs="宋体"/>
          <w:spacing w:val="10"/>
          <w:sz w:val="24"/>
          <w:szCs w:val="24"/>
        </w:rPr>
        <w:t>1.</w:t>
      </w:r>
      <w:r>
        <w:rPr>
          <w:rFonts w:hint="eastAsia" w:ascii="宋体" w:hAnsi="宋体" w:cs="宋体"/>
          <w:spacing w:val="10"/>
          <w:sz w:val="24"/>
          <w:szCs w:val="24"/>
        </w:rPr>
        <w:t>比较法就是选取一定数量的可比实例，将它们与估价对象进行比较，根据其间的差异对可比实例的成交价格进行处理后得到估价对象价值或价格的方法。</w:t>
      </w:r>
    </w:p>
    <w:p>
      <w:pPr>
        <w:widowControl/>
        <w:spacing w:line="440" w:lineRule="exact"/>
        <w:ind w:firstLine="520" w:firstLineChars="200"/>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收益法是预测估价对象的未来收益，利用报酬率或资本化率、收益乘数将未来收益转换为价值来求取估价对象价值或价格的方法。</w:t>
      </w:r>
    </w:p>
    <w:p>
      <w:pPr>
        <w:widowControl/>
        <w:spacing w:line="440" w:lineRule="exact"/>
        <w:ind w:firstLine="520" w:firstLineChars="200"/>
        <w:rPr>
          <w:rFonts w:ascii="宋体"/>
          <w:spacing w:val="10"/>
          <w:sz w:val="24"/>
          <w:szCs w:val="24"/>
        </w:rPr>
      </w:pPr>
      <w:r>
        <w:rPr>
          <w:rFonts w:ascii="宋体" w:hAnsi="宋体" w:cs="宋体"/>
          <w:spacing w:val="10"/>
          <w:sz w:val="24"/>
          <w:szCs w:val="24"/>
        </w:rPr>
        <w:t>3.</w:t>
      </w:r>
      <w:r>
        <w:rPr>
          <w:rFonts w:hint="eastAsia" w:ascii="宋体" w:hAnsi="宋体" w:cs="宋体"/>
          <w:spacing w:val="10"/>
          <w:sz w:val="24"/>
          <w:szCs w:val="24"/>
        </w:rPr>
        <w:t>成本法，是求取估价对象在估价时点的重置成本或重建成本和折旧，将重置成本或重建成本减去折旧来求取估价对象价值或价格的方法。</w:t>
      </w:r>
    </w:p>
    <w:p>
      <w:pPr>
        <w:widowControl/>
        <w:spacing w:line="440" w:lineRule="exact"/>
        <w:ind w:firstLine="520" w:firstLineChars="200"/>
        <w:rPr>
          <w:rFonts w:ascii="宋体"/>
          <w:spacing w:val="10"/>
          <w:sz w:val="24"/>
          <w:szCs w:val="24"/>
        </w:rPr>
      </w:pPr>
      <w:r>
        <w:rPr>
          <w:rFonts w:ascii="宋体" w:hAnsi="宋体" w:cs="宋体"/>
          <w:spacing w:val="10"/>
          <w:sz w:val="24"/>
          <w:szCs w:val="24"/>
        </w:rPr>
        <w:t>4.</w:t>
      </w:r>
      <w:r>
        <w:rPr>
          <w:rFonts w:hint="eastAsia" w:ascii="宋体" w:hAnsi="宋体" w:cs="宋体"/>
          <w:spacing w:val="10"/>
          <w:sz w:val="24"/>
          <w:szCs w:val="24"/>
        </w:rPr>
        <w:t>假设开发法，是求得估价对象后续开发的必要支出及折现率或后续开发的必要支出及应得利润和开发完成后的价值，将开发完成后的价值和后续开发的必要支出折现到价值时点后相减，或将开发完成后价值减去后续开发的必要支出及应得利润得到估价对象价值或价格的方法。</w:t>
      </w:r>
    </w:p>
    <w:p>
      <w:pPr>
        <w:widowControl/>
        <w:spacing w:line="360" w:lineRule="auto"/>
        <w:ind w:firstLine="480" w:firstLineChars="200"/>
        <w:rPr>
          <w:rFonts w:ascii="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 1 \* GB2 </w:instrText>
      </w:r>
      <w:r>
        <w:rPr>
          <w:rFonts w:ascii="宋体" w:hAnsi="宋体" w:cs="宋体"/>
          <w:color w:val="000000"/>
          <w:sz w:val="24"/>
          <w:szCs w:val="24"/>
        </w:rPr>
        <w:fldChar w:fldCharType="separate"/>
      </w:r>
      <w:r>
        <w:rPr>
          <w:rFonts w:hint="eastAsia" w:ascii="宋体" w:hAnsi="宋体" w:cs="宋体"/>
          <w:color w:val="000000"/>
          <w:sz w:val="24"/>
          <w:szCs w:val="24"/>
        </w:rPr>
        <w:t>⑴</w:t>
      </w:r>
      <w:r>
        <w:rPr>
          <w:rFonts w:ascii="宋体" w:hAnsi="宋体" w:cs="宋体"/>
          <w:color w:val="000000"/>
          <w:sz w:val="24"/>
          <w:szCs w:val="24"/>
        </w:rPr>
        <w:fldChar w:fldCharType="end"/>
      </w:r>
      <w:r>
        <w:rPr>
          <w:rFonts w:hint="eastAsia" w:ascii="宋体" w:hAnsi="宋体" w:cs="宋体"/>
          <w:color w:val="000000"/>
          <w:sz w:val="24"/>
          <w:szCs w:val="24"/>
        </w:rPr>
        <w:t>不适用的估价方法分析：</w:t>
      </w:r>
    </w:p>
    <w:p>
      <w:pPr>
        <w:widowControl/>
        <w:spacing w:line="360" w:lineRule="auto"/>
        <w:ind w:firstLine="520" w:firstLineChars="200"/>
        <w:rPr>
          <w:rFonts w:ascii="宋体"/>
          <w:color w:val="000000"/>
          <w:spacing w:val="10"/>
          <w:sz w:val="24"/>
          <w:szCs w:val="24"/>
        </w:rPr>
      </w:pPr>
      <w:r>
        <w:rPr>
          <w:rFonts w:ascii="宋体" w:hAnsi="宋体" w:cs="宋体"/>
          <w:color w:val="000000"/>
          <w:spacing w:val="10"/>
          <w:sz w:val="24"/>
          <w:szCs w:val="24"/>
        </w:rPr>
        <w:fldChar w:fldCharType="begin"/>
      </w:r>
      <w:r>
        <w:rPr>
          <w:rFonts w:ascii="宋体" w:hAnsi="宋体" w:cs="宋体"/>
          <w:color w:val="000000"/>
          <w:spacing w:val="10"/>
          <w:sz w:val="24"/>
          <w:szCs w:val="24"/>
        </w:rPr>
        <w:instrText xml:space="preserve">= 1 \* GB3</w:instrText>
      </w:r>
      <w:r>
        <w:rPr>
          <w:rFonts w:ascii="宋体" w:hAnsi="宋体" w:cs="宋体"/>
          <w:color w:val="000000"/>
          <w:spacing w:val="10"/>
          <w:sz w:val="24"/>
          <w:szCs w:val="24"/>
        </w:rPr>
        <w:fldChar w:fldCharType="separate"/>
      </w:r>
      <w:r>
        <w:rPr>
          <w:rFonts w:hint="eastAsia" w:ascii="宋体" w:hAnsi="宋体" w:cs="宋体"/>
          <w:color w:val="000000"/>
          <w:spacing w:val="10"/>
          <w:sz w:val="24"/>
          <w:szCs w:val="24"/>
        </w:rPr>
        <w:t>①</w:t>
      </w:r>
      <w:r>
        <w:rPr>
          <w:rFonts w:ascii="宋体" w:hAnsi="宋体" w:cs="宋体"/>
          <w:color w:val="000000"/>
          <w:spacing w:val="10"/>
          <w:sz w:val="24"/>
          <w:szCs w:val="24"/>
        </w:rPr>
        <w:fldChar w:fldCharType="end"/>
      </w:r>
      <w:r>
        <w:rPr>
          <w:rFonts w:hint="eastAsia" w:ascii="宋体" w:hAnsi="宋体" w:cs="宋体"/>
          <w:color w:val="000000"/>
          <w:spacing w:val="10"/>
          <w:sz w:val="24"/>
          <w:szCs w:val="24"/>
        </w:rPr>
        <w:t>经现场调查，估价对象为已开发建成房产，成新率尚好，经过分析确定其保持现状继续使用为其最高最佳使用途径，故不采用假设开发法评估。</w:t>
      </w:r>
    </w:p>
    <w:p>
      <w:pPr>
        <w:widowControl/>
        <w:spacing w:line="360" w:lineRule="auto"/>
        <w:ind w:firstLine="520" w:firstLineChars="200"/>
        <w:rPr>
          <w:rFonts w:hint="eastAsia" w:ascii="宋体" w:hAnsi="宋体" w:cs="宋体"/>
          <w:spacing w:val="10"/>
          <w:sz w:val="24"/>
          <w:szCs w:val="24"/>
        </w:rPr>
      </w:pPr>
      <w:r>
        <w:rPr>
          <w:rFonts w:ascii="宋体" w:hAnsi="宋体" w:cs="宋体"/>
          <w:color w:val="000000"/>
          <w:spacing w:val="10"/>
          <w:sz w:val="24"/>
          <w:szCs w:val="24"/>
        </w:rPr>
        <w:fldChar w:fldCharType="begin"/>
      </w:r>
      <w:r>
        <w:rPr>
          <w:rFonts w:ascii="宋体" w:hAnsi="宋体" w:cs="宋体"/>
          <w:color w:val="000000"/>
          <w:spacing w:val="10"/>
          <w:sz w:val="24"/>
          <w:szCs w:val="24"/>
        </w:rPr>
        <w:instrText xml:space="preserve">= 2 \* GB3</w:instrText>
      </w:r>
      <w:r>
        <w:rPr>
          <w:rFonts w:ascii="宋体" w:hAnsi="宋体" w:cs="宋体"/>
          <w:color w:val="000000"/>
          <w:spacing w:val="10"/>
          <w:sz w:val="24"/>
          <w:szCs w:val="24"/>
        </w:rPr>
        <w:fldChar w:fldCharType="separate"/>
      </w:r>
      <w:r>
        <w:rPr>
          <w:rFonts w:hint="eastAsia" w:ascii="宋体" w:hAnsi="宋体" w:cs="宋体"/>
          <w:color w:val="000000"/>
          <w:spacing w:val="10"/>
          <w:sz w:val="24"/>
          <w:szCs w:val="24"/>
        </w:rPr>
        <w:t>②</w:t>
      </w:r>
      <w:r>
        <w:rPr>
          <w:rFonts w:ascii="宋体" w:hAnsi="宋体" w:cs="宋体"/>
          <w:color w:val="000000"/>
          <w:spacing w:val="10"/>
          <w:sz w:val="24"/>
          <w:szCs w:val="24"/>
        </w:rPr>
        <w:fldChar w:fldCharType="end"/>
      </w:r>
      <w:r>
        <w:rPr>
          <w:rFonts w:hint="eastAsia" w:ascii="宋体" w:hAnsi="宋体" w:cs="宋体"/>
          <w:spacing w:val="10"/>
          <w:sz w:val="24"/>
          <w:szCs w:val="24"/>
        </w:rPr>
        <w:t>估价对象所在区域房地产</w:t>
      </w:r>
      <w:r>
        <w:rPr>
          <w:rFonts w:hint="eastAsia" w:ascii="宋体" w:hAnsi="宋体" w:cs="宋体"/>
          <w:spacing w:val="10"/>
          <w:sz w:val="24"/>
          <w:szCs w:val="24"/>
          <w:lang w:eastAsia="zh-CN"/>
        </w:rPr>
        <w:t>（商业用途房产）</w:t>
      </w:r>
      <w:r>
        <w:rPr>
          <w:rFonts w:hint="eastAsia" w:ascii="宋体" w:hAnsi="宋体" w:cs="宋体"/>
          <w:spacing w:val="10"/>
          <w:sz w:val="24"/>
          <w:szCs w:val="24"/>
        </w:rPr>
        <w:t>交易市场尚未成熟，价值时点近期类似房地产</w:t>
      </w:r>
      <w:r>
        <w:rPr>
          <w:rFonts w:hint="eastAsia" w:ascii="宋体" w:hAnsi="宋体" w:cs="宋体"/>
          <w:spacing w:val="10"/>
          <w:sz w:val="24"/>
          <w:szCs w:val="24"/>
          <w:lang w:eastAsia="zh-CN"/>
        </w:rPr>
        <w:t>（商业用途房产）</w:t>
      </w:r>
      <w:r>
        <w:rPr>
          <w:rFonts w:hint="eastAsia" w:ascii="宋体" w:hAnsi="宋体" w:cs="宋体"/>
          <w:spacing w:val="10"/>
          <w:sz w:val="24"/>
          <w:szCs w:val="24"/>
        </w:rPr>
        <w:t>市场交易案例较少，故</w:t>
      </w:r>
      <w:r>
        <w:rPr>
          <w:rFonts w:hint="eastAsia" w:ascii="宋体" w:hAnsi="宋体" w:cs="宋体"/>
          <w:spacing w:val="10"/>
          <w:sz w:val="24"/>
          <w:szCs w:val="24"/>
          <w:lang w:val="en-US" w:eastAsia="zh-CN"/>
        </w:rPr>
        <w:t>01幢101号、02幢104、105号商业用房</w:t>
      </w:r>
      <w:r>
        <w:rPr>
          <w:rFonts w:hint="eastAsia" w:ascii="宋体" w:hAnsi="宋体" w:cs="宋体"/>
          <w:spacing w:val="10"/>
          <w:sz w:val="24"/>
          <w:szCs w:val="24"/>
        </w:rPr>
        <w:t>不宜采用比较法评估</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01幢305号、02幢305、306号住宅用房宜采用比较法）</w:t>
      </w:r>
      <w:r>
        <w:rPr>
          <w:rFonts w:hint="eastAsia" w:ascii="宋体" w:hAnsi="宋体" w:cs="宋体"/>
          <w:spacing w:val="10"/>
          <w:sz w:val="24"/>
          <w:szCs w:val="24"/>
        </w:rPr>
        <w:t>。</w:t>
      </w:r>
    </w:p>
    <w:p>
      <w:pPr>
        <w:widowControl/>
        <w:spacing w:line="360" w:lineRule="auto"/>
        <w:ind w:firstLine="520" w:firstLineChars="200"/>
        <w:rPr>
          <w:rFonts w:ascii="宋体"/>
          <w:color w:val="000000"/>
          <w:spacing w:val="10"/>
          <w:sz w:val="24"/>
          <w:szCs w:val="24"/>
        </w:rPr>
      </w:pPr>
      <w:r>
        <w:rPr>
          <w:rFonts w:hint="eastAsia" w:ascii="宋体" w:hAnsi="宋体" w:cs="宋体"/>
          <w:spacing w:val="10"/>
          <w:sz w:val="24"/>
          <w:szCs w:val="24"/>
        </w:rPr>
        <w:t>③估价对象为商业用途房产</w:t>
      </w:r>
      <w:r>
        <w:rPr>
          <w:rFonts w:hint="eastAsia" w:ascii="宋体" w:hAnsi="宋体" w:cs="宋体"/>
          <w:spacing w:val="10"/>
          <w:sz w:val="24"/>
          <w:szCs w:val="24"/>
          <w:lang w:eastAsia="zh-CN"/>
        </w:rPr>
        <w:t>和住宅用途房产</w:t>
      </w:r>
      <w:r>
        <w:rPr>
          <w:rFonts w:hint="eastAsia" w:ascii="宋体" w:hAnsi="宋体" w:cs="宋体"/>
          <w:spacing w:val="10"/>
          <w:sz w:val="24"/>
          <w:szCs w:val="24"/>
        </w:rPr>
        <w:t>，采用成本法不能充分反应其市场价值，故不采用成本法评估。</w:t>
      </w:r>
    </w:p>
    <w:p>
      <w:pPr>
        <w:widowControl/>
        <w:spacing w:line="360" w:lineRule="auto"/>
        <w:ind w:firstLine="480" w:firstLineChars="200"/>
        <w:rPr>
          <w:rFonts w:ascii="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 2 \* GB2 </w:instrText>
      </w:r>
      <w:r>
        <w:rPr>
          <w:rFonts w:ascii="宋体" w:hAnsi="宋体" w:cs="宋体"/>
          <w:color w:val="000000"/>
          <w:sz w:val="24"/>
          <w:szCs w:val="24"/>
        </w:rPr>
        <w:fldChar w:fldCharType="separate"/>
      </w:r>
      <w:r>
        <w:rPr>
          <w:rFonts w:hint="eastAsia" w:ascii="宋体" w:hAnsi="宋体" w:cs="宋体"/>
          <w:color w:val="000000"/>
          <w:sz w:val="24"/>
          <w:szCs w:val="24"/>
        </w:rPr>
        <w:t>⑵</w:t>
      </w:r>
      <w:r>
        <w:rPr>
          <w:rFonts w:ascii="宋体" w:hAnsi="宋体" w:cs="宋体"/>
          <w:color w:val="000000"/>
          <w:sz w:val="24"/>
          <w:szCs w:val="24"/>
        </w:rPr>
        <w:fldChar w:fldCharType="end"/>
      </w:r>
      <w:r>
        <w:rPr>
          <w:rFonts w:hint="eastAsia" w:ascii="宋体" w:hAnsi="宋体" w:cs="宋体"/>
          <w:color w:val="000000"/>
          <w:sz w:val="24"/>
          <w:szCs w:val="24"/>
        </w:rPr>
        <w:t>适用的估价方法分析：</w:t>
      </w:r>
    </w:p>
    <w:p>
      <w:pPr>
        <w:widowControl/>
        <w:spacing w:line="420" w:lineRule="exact"/>
        <w:ind w:firstLine="480" w:firstLineChars="200"/>
        <w:rPr>
          <w:rFonts w:ascii="宋体" w:hAnsi="宋体" w:cs="宋体"/>
          <w:color w:val="000000"/>
          <w:sz w:val="24"/>
          <w:szCs w:val="24"/>
        </w:rPr>
      </w:pPr>
      <w:r>
        <w:rPr>
          <w:rFonts w:ascii="宋体" w:hAnsi="宋体" w:cs="宋体"/>
          <w:color w:val="000000"/>
          <w:sz w:val="24"/>
          <w:szCs w:val="24"/>
        </w:rPr>
        <w:fldChar w:fldCharType="begin"/>
      </w:r>
      <w:r>
        <w:rPr>
          <w:rFonts w:ascii="宋体" w:hAnsi="宋体" w:cs="宋体"/>
          <w:color w:val="000000"/>
          <w:sz w:val="24"/>
          <w:szCs w:val="24"/>
        </w:rPr>
        <w:instrText xml:space="preserve">= 1 \* GB3</w:instrText>
      </w:r>
      <w:r>
        <w:rPr>
          <w:rFonts w:ascii="宋体" w:hAnsi="宋体" w:cs="宋体"/>
          <w:color w:val="000000"/>
          <w:sz w:val="24"/>
          <w:szCs w:val="24"/>
        </w:rPr>
        <w:fldChar w:fldCharType="separate"/>
      </w:r>
      <w:r>
        <w:rPr>
          <w:rFonts w:hint="eastAsia" w:ascii="宋体" w:hAnsi="宋体" w:cs="宋体"/>
          <w:color w:val="000000"/>
          <w:sz w:val="24"/>
          <w:szCs w:val="24"/>
        </w:rPr>
        <w:t>①</w:t>
      </w:r>
      <w:r>
        <w:rPr>
          <w:rFonts w:ascii="宋体" w:hAnsi="宋体" w:cs="宋体"/>
          <w:color w:val="000000"/>
          <w:sz w:val="24"/>
          <w:szCs w:val="24"/>
        </w:rPr>
        <w:fldChar w:fldCharType="end"/>
      </w:r>
      <w:r>
        <w:rPr>
          <w:rFonts w:hint="eastAsia" w:ascii="宋体" w:hAnsi="宋体"/>
          <w:color w:val="000000"/>
          <w:spacing w:val="10"/>
          <w:sz w:val="24"/>
          <w:highlight w:val="none"/>
        </w:rPr>
        <w:t>考虑到估价对象房地产所在区域房地产交易市场较成熟，</w:t>
      </w:r>
      <w:r>
        <w:rPr>
          <w:rFonts w:hint="eastAsia" w:ascii="宋体" w:hAnsi="宋体"/>
          <w:color w:val="000000"/>
          <w:spacing w:val="10"/>
          <w:sz w:val="24"/>
          <w:highlight w:val="none"/>
          <w:lang w:eastAsia="zh-CN"/>
        </w:rPr>
        <w:t>住宅</w:t>
      </w:r>
      <w:r>
        <w:rPr>
          <w:rFonts w:hint="eastAsia" w:ascii="宋体" w:hAnsi="宋体"/>
          <w:color w:val="000000"/>
          <w:spacing w:val="10"/>
          <w:sz w:val="24"/>
          <w:highlight w:val="none"/>
        </w:rPr>
        <w:t>用房的市场交易案例较多且容易收集，故</w:t>
      </w:r>
      <w:r>
        <w:rPr>
          <w:rFonts w:hint="eastAsia" w:ascii="宋体" w:hAnsi="宋体" w:cs="宋体"/>
          <w:spacing w:val="10"/>
          <w:sz w:val="24"/>
          <w:szCs w:val="24"/>
          <w:lang w:val="en-US" w:eastAsia="zh-CN"/>
        </w:rPr>
        <w:t>01幢305号、02幢305、306号住宅用房</w:t>
      </w:r>
      <w:r>
        <w:rPr>
          <w:rFonts w:hint="eastAsia" w:ascii="宋体" w:hAnsi="宋体"/>
          <w:color w:val="000000"/>
          <w:spacing w:val="10"/>
          <w:sz w:val="24"/>
          <w:highlight w:val="none"/>
        </w:rPr>
        <w:t>可选用比较法进行评估。比较法是选取一定数量的可比实例，将它们与估价对象进行比较，根据其间的差异对可比实例成交价格进行处理后得到估价对象价值或价格的方法。</w:t>
      </w:r>
    </w:p>
    <w:p>
      <w:pPr>
        <w:widowControl/>
        <w:spacing w:line="440" w:lineRule="exact"/>
        <w:ind w:firstLine="520" w:firstLineChars="200"/>
        <w:rPr>
          <w:rFonts w:hint="eastAsia" w:ascii="宋体" w:hAnsi="宋体"/>
          <w:color w:val="000000"/>
          <w:spacing w:val="10"/>
          <w:sz w:val="24"/>
        </w:rPr>
      </w:pPr>
      <w:r>
        <w:rPr>
          <w:rFonts w:hint="eastAsia" w:ascii="宋体" w:hAnsi="宋体" w:cs="宋体"/>
          <w:spacing w:val="10"/>
          <w:sz w:val="24"/>
          <w:szCs w:val="24"/>
        </w:rPr>
        <w:t>②估价对象所在区域房地产租赁市场较为成熟，价值时点近期类似房地产市场租赁案例较多，故适宜采用收益法</w:t>
      </w:r>
      <w:r>
        <w:rPr>
          <w:rFonts w:hint="eastAsia" w:ascii="宋体" w:hAnsi="宋体" w:cs="宋体"/>
          <w:spacing w:val="10"/>
          <w:sz w:val="24"/>
          <w:szCs w:val="24"/>
          <w:lang w:eastAsia="zh-CN"/>
        </w:rPr>
        <w:t>。</w:t>
      </w:r>
      <w:r>
        <w:rPr>
          <w:rFonts w:hint="eastAsia" w:ascii="宋体" w:hAnsi="宋体"/>
          <w:color w:val="000000"/>
          <w:spacing w:val="10"/>
          <w:sz w:val="24"/>
        </w:rPr>
        <w:t>收益法是预测估价对象的未来收益，利用报酬率或资本化率、收益乘数将未来收益转换为价值得到估计对象价值或价格的方法。</w:t>
      </w:r>
    </w:p>
    <w:p>
      <w:pPr>
        <w:widowControl/>
        <w:spacing w:line="420" w:lineRule="exact"/>
        <w:ind w:firstLine="522" w:firstLineChars="200"/>
        <w:rPr>
          <w:rFonts w:ascii="宋体"/>
          <w:b/>
          <w:bCs/>
          <w:color w:val="000000"/>
          <w:spacing w:val="10"/>
          <w:sz w:val="24"/>
        </w:rPr>
      </w:pPr>
      <w:r>
        <w:rPr>
          <w:rFonts w:hint="eastAsia" w:ascii="宋体" w:hAnsi="宋体"/>
          <w:b/>
          <w:bCs/>
          <w:color w:val="000000"/>
          <w:spacing w:val="10"/>
          <w:sz w:val="24"/>
        </w:rPr>
        <w:t>（一）比较法</w:t>
      </w:r>
    </w:p>
    <w:p>
      <w:pPr>
        <w:widowControl/>
        <w:spacing w:line="420" w:lineRule="exact"/>
        <w:ind w:firstLine="520" w:firstLineChars="200"/>
        <w:rPr>
          <w:rFonts w:ascii="宋体"/>
          <w:color w:val="000000"/>
          <w:spacing w:val="10"/>
          <w:sz w:val="24"/>
        </w:rPr>
      </w:pPr>
      <w:r>
        <w:rPr>
          <w:rFonts w:hint="eastAsia" w:ascii="宋体" w:hAnsi="宋体"/>
          <w:color w:val="000000"/>
          <w:spacing w:val="10"/>
          <w:sz w:val="24"/>
        </w:rPr>
        <w:t>估价技术路线为：首先遵循比较法可比实例的选取原则，根据估价人员掌握的房地产交易市场资料，在估价对象同一供求圈内选择三个与估价对象用途、规模、档次、建筑结构相同或相似的近期交易实例作为可比实例，对影响价格的各项因素及其影响程度进行分析，建立估价对象与可比实例的价格可比基础，并分别进行交易情况修正、交易日期修正、房地产状况修正，求取估价对象房地产的比较价格。</w:t>
      </w:r>
    </w:p>
    <w:p>
      <w:pPr>
        <w:spacing w:line="420" w:lineRule="exact"/>
        <w:ind w:left="2361" w:leftChars="269" w:hanging="1796" w:hangingChars="691"/>
        <w:rPr>
          <w:rFonts w:ascii="宋体"/>
          <w:color w:val="000000"/>
          <w:spacing w:val="10"/>
          <w:sz w:val="24"/>
        </w:rPr>
      </w:pPr>
      <w:r>
        <w:rPr>
          <w:rFonts w:hint="eastAsia" w:ascii="宋体" w:hAnsi="宋体"/>
          <w:color w:val="000000"/>
          <w:spacing w:val="10"/>
          <w:sz w:val="24"/>
        </w:rPr>
        <w:t>公式：估价对象价格</w:t>
      </w:r>
      <w:r>
        <w:rPr>
          <w:rFonts w:ascii="宋体" w:hAnsi="宋体"/>
          <w:color w:val="000000"/>
          <w:spacing w:val="10"/>
          <w:sz w:val="24"/>
        </w:rPr>
        <w:t>=</w:t>
      </w:r>
      <w:r>
        <w:rPr>
          <w:rFonts w:hint="eastAsia" w:ascii="宋体" w:hAnsi="宋体"/>
          <w:color w:val="000000"/>
          <w:spacing w:val="10"/>
          <w:sz w:val="24"/>
        </w:rPr>
        <w:t>可比实例价格×交易情况修正系数×市场状况调整系数×房地产状况调整系数</w:t>
      </w:r>
    </w:p>
    <w:p>
      <w:pPr>
        <w:widowControl/>
        <w:spacing w:line="420" w:lineRule="exact"/>
        <w:ind w:firstLine="522" w:firstLineChars="200"/>
        <w:rPr>
          <w:rFonts w:ascii="黑体" w:hAnsi="宋体" w:eastAsia="黑体"/>
          <w:b/>
          <w:bCs/>
          <w:color w:val="000000"/>
          <w:spacing w:val="10"/>
          <w:sz w:val="24"/>
        </w:rPr>
      </w:pPr>
      <w:r>
        <w:rPr>
          <w:rFonts w:ascii="宋体" w:hAnsi="宋体"/>
          <w:b/>
          <w:bCs/>
          <w:color w:val="000000"/>
          <w:spacing w:val="10"/>
          <w:sz w:val="24"/>
        </w:rPr>
        <w:t>(</w:t>
      </w:r>
      <w:r>
        <w:rPr>
          <w:rFonts w:hint="eastAsia" w:ascii="宋体" w:hAnsi="宋体"/>
          <w:b/>
          <w:bCs/>
          <w:color w:val="000000"/>
          <w:spacing w:val="10"/>
          <w:sz w:val="24"/>
        </w:rPr>
        <w:t>二</w:t>
      </w:r>
      <w:r>
        <w:rPr>
          <w:rFonts w:ascii="宋体" w:hAnsi="宋体"/>
          <w:b/>
          <w:bCs/>
          <w:color w:val="000000"/>
          <w:spacing w:val="10"/>
          <w:sz w:val="24"/>
        </w:rPr>
        <w:t>)</w:t>
      </w:r>
      <w:r>
        <w:rPr>
          <w:rFonts w:hint="eastAsia" w:ascii="宋体" w:hAnsi="宋体"/>
          <w:b/>
          <w:bCs/>
          <w:color w:val="000000"/>
          <w:spacing w:val="10"/>
          <w:sz w:val="24"/>
        </w:rPr>
        <w:t>收益法</w:t>
      </w:r>
    </w:p>
    <w:p>
      <w:pPr>
        <w:widowControl/>
        <w:spacing w:line="420" w:lineRule="exact"/>
        <w:ind w:firstLine="520" w:firstLineChars="200"/>
        <w:rPr>
          <w:rFonts w:ascii="宋体"/>
          <w:color w:val="000000"/>
          <w:spacing w:val="10"/>
          <w:sz w:val="24"/>
        </w:rPr>
      </w:pPr>
      <w:r>
        <w:rPr>
          <w:rFonts w:hint="eastAsia" w:ascii="宋体" w:hAnsi="宋体"/>
          <w:color w:val="000000"/>
          <w:spacing w:val="10"/>
          <w:sz w:val="24"/>
        </w:rPr>
        <w:t>估价技术路线为：先求取估价对象的客观租金和区域内同类型房地产的资本化率。然后求取估价对象的客观费用，用客观租金减去客观费用即得到估价对象的年净收益。再运用所求取的住宅房地产报酬率将其未来各年的净收益折算到价值时点上，计算出估价对象房地产收益价格。</w:t>
      </w:r>
    </w:p>
    <w:p>
      <w:pPr>
        <w:widowControl/>
        <w:spacing w:line="420" w:lineRule="exact"/>
        <w:ind w:firstLine="520" w:firstLineChars="200"/>
        <w:rPr>
          <w:rFonts w:ascii="宋体"/>
          <w:color w:val="000000"/>
          <w:spacing w:val="10"/>
          <w:sz w:val="24"/>
        </w:rPr>
      </w:pPr>
      <w:r>
        <w:rPr>
          <w:rFonts w:hint="eastAsia" w:ascii="宋体" w:hAnsi="宋体"/>
          <w:color w:val="000000"/>
          <w:spacing w:val="10"/>
          <w:sz w:val="24"/>
        </w:rPr>
        <w:t>因收益法的收益模型有多种，估价人员根据对估价对象和周边类似房地产进行调查了解，类似房地产存在持续收益可能，且租金在收益期内一般为逐年递增。故本次估价选用收益期内净收益逐年上涨的模型进行收益价格测算。</w:t>
      </w:r>
    </w:p>
    <w:p>
      <w:pPr>
        <w:widowControl/>
        <w:spacing w:line="420" w:lineRule="exact"/>
        <w:ind w:firstLine="520" w:firstLineChars="200"/>
        <w:rPr>
          <w:rFonts w:ascii="宋体"/>
          <w:color w:val="000000"/>
          <w:spacing w:val="10"/>
          <w:sz w:val="24"/>
          <w:szCs w:val="24"/>
        </w:rPr>
      </w:pPr>
      <w:r>
        <w:rPr>
          <w:rFonts w:hint="eastAsia" w:ascii="宋体" w:hAnsi="宋体" w:cs="宋体"/>
          <w:color w:val="000000"/>
          <w:spacing w:val="10"/>
          <w:sz w:val="24"/>
          <w:szCs w:val="24"/>
        </w:rPr>
        <w:t>收益法的基本公式为：</w:t>
      </w:r>
    </w:p>
    <w:p>
      <w:pPr>
        <w:widowControl/>
        <w:spacing w:line="360" w:lineRule="auto"/>
        <w:ind w:firstLine="520" w:firstLineChars="200"/>
        <w:rPr>
          <w:rFonts w:ascii="宋体"/>
          <w:color w:val="000000"/>
          <w:spacing w:val="10"/>
          <w:sz w:val="24"/>
          <w:szCs w:val="24"/>
        </w:rPr>
      </w:pPr>
      <w:r>
        <w:rPr>
          <w:rFonts w:ascii="宋体" w:hAnsi="宋体" w:cs="宋体"/>
          <w:color w:val="000000"/>
          <w:spacing w:val="10"/>
          <w:sz w:val="24"/>
          <w:szCs w:val="24"/>
        </w:rPr>
        <w:t>P= A/(Y-g)</w:t>
      </w:r>
      <w:r>
        <w:rPr>
          <w:rFonts w:hint="eastAsia" w:ascii="宋体" w:hAnsi="宋体" w:cs="宋体"/>
          <w:color w:val="000000"/>
          <w:spacing w:val="10"/>
          <w:sz w:val="24"/>
          <w:szCs w:val="24"/>
        </w:rPr>
        <w:t>×</w:t>
      </w:r>
      <w:r>
        <w:rPr>
          <w:rFonts w:ascii="宋体"/>
          <w:color w:val="000000"/>
          <w:spacing w:val="10"/>
          <w:sz w:val="24"/>
          <w:szCs w:val="24"/>
        </w:rPr>
        <w:t>{</w:t>
      </w:r>
      <w:r>
        <w:rPr>
          <w:rFonts w:ascii="宋体" w:hAnsi="宋体" w:cs="宋体"/>
          <w:color w:val="000000"/>
          <w:spacing w:val="10"/>
          <w:sz w:val="24"/>
          <w:szCs w:val="24"/>
        </w:rPr>
        <w:t>1-[(1+g)/</w:t>
      </w:r>
      <w:r>
        <w:rPr>
          <w:rFonts w:hint="eastAsia" w:ascii="宋体" w:hAnsi="宋体" w:cs="宋体"/>
          <w:color w:val="000000"/>
          <w:spacing w:val="10"/>
          <w:sz w:val="24"/>
          <w:szCs w:val="24"/>
        </w:rPr>
        <w:t>（</w:t>
      </w:r>
      <w:r>
        <w:rPr>
          <w:rFonts w:ascii="宋体" w:hAnsi="宋体" w:cs="宋体"/>
          <w:color w:val="000000"/>
          <w:spacing w:val="10"/>
          <w:sz w:val="24"/>
          <w:szCs w:val="24"/>
        </w:rPr>
        <w:t>1+Y</w:t>
      </w:r>
      <w:r>
        <w:rPr>
          <w:rFonts w:hint="eastAsia" w:ascii="宋体" w:hAnsi="宋体" w:cs="宋体"/>
          <w:color w:val="000000"/>
          <w:spacing w:val="10"/>
          <w:sz w:val="24"/>
          <w:szCs w:val="24"/>
        </w:rPr>
        <w:t>）</w:t>
      </w:r>
      <w:r>
        <w:rPr>
          <w:rFonts w:ascii="宋体" w:hAnsi="宋体" w:cs="宋体"/>
          <w:color w:val="000000"/>
          <w:spacing w:val="10"/>
          <w:sz w:val="24"/>
          <w:szCs w:val="24"/>
        </w:rPr>
        <w:t>]</w:t>
      </w:r>
      <w:r>
        <w:rPr>
          <w:rFonts w:ascii="宋体" w:hAnsi="宋体" w:cs="宋体"/>
          <w:color w:val="000000"/>
          <w:spacing w:val="10"/>
          <w:sz w:val="24"/>
          <w:szCs w:val="24"/>
          <w:vertAlign w:val="superscript"/>
        </w:rPr>
        <w:t>N</w:t>
      </w:r>
      <w:r>
        <w:rPr>
          <w:rFonts w:ascii="宋体"/>
          <w:color w:val="000000"/>
          <w:spacing w:val="10"/>
          <w:sz w:val="24"/>
          <w:szCs w:val="24"/>
        </w:rPr>
        <w:t>}</w:t>
      </w:r>
    </w:p>
    <w:p>
      <w:pPr>
        <w:widowControl/>
        <w:spacing w:line="360" w:lineRule="auto"/>
        <w:ind w:left="927"/>
        <w:rPr>
          <w:rFonts w:ascii="宋体"/>
          <w:color w:val="000000"/>
          <w:spacing w:val="10"/>
          <w:sz w:val="24"/>
          <w:szCs w:val="24"/>
        </w:rPr>
      </w:pPr>
      <w:r>
        <w:rPr>
          <w:rFonts w:hint="eastAsia" w:ascii="宋体" w:hAnsi="宋体" w:cs="宋体"/>
          <w:color w:val="000000"/>
          <w:spacing w:val="10"/>
          <w:sz w:val="24"/>
          <w:szCs w:val="24"/>
        </w:rPr>
        <w:t>式中：</w:t>
      </w:r>
      <w:r>
        <w:rPr>
          <w:rFonts w:ascii="宋体" w:hAnsi="宋体" w:cs="宋体"/>
          <w:color w:val="000000"/>
          <w:spacing w:val="10"/>
          <w:sz w:val="24"/>
          <w:szCs w:val="24"/>
        </w:rPr>
        <w:t>P ---</w:t>
      </w:r>
      <w:r>
        <w:rPr>
          <w:rFonts w:hint="eastAsia" w:ascii="宋体" w:hAnsi="宋体" w:cs="宋体"/>
          <w:color w:val="000000"/>
          <w:spacing w:val="10"/>
          <w:sz w:val="24"/>
          <w:szCs w:val="24"/>
        </w:rPr>
        <w:t>房地产价格</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A ---</w:t>
      </w:r>
      <w:r>
        <w:rPr>
          <w:rFonts w:hint="eastAsia" w:ascii="宋体" w:hAnsi="宋体" w:cs="宋体"/>
          <w:color w:val="000000"/>
          <w:spacing w:val="10"/>
          <w:sz w:val="24"/>
          <w:szCs w:val="24"/>
        </w:rPr>
        <w:t>房地产年净收益</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Y ---</w:t>
      </w:r>
      <w:r>
        <w:rPr>
          <w:rFonts w:hint="eastAsia" w:ascii="宋体" w:hAnsi="宋体" w:cs="宋体"/>
          <w:color w:val="000000"/>
          <w:spacing w:val="10"/>
          <w:sz w:val="24"/>
          <w:szCs w:val="24"/>
        </w:rPr>
        <w:t>报酬率</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g ---</w:t>
      </w:r>
      <w:r>
        <w:rPr>
          <w:rFonts w:hint="eastAsia" w:ascii="宋体" w:hAnsi="宋体" w:cs="宋体"/>
          <w:color w:val="000000"/>
          <w:spacing w:val="10"/>
          <w:sz w:val="24"/>
          <w:szCs w:val="24"/>
        </w:rPr>
        <w:t>上涨率</w:t>
      </w:r>
    </w:p>
    <w:p>
      <w:pPr>
        <w:spacing w:line="440" w:lineRule="exact"/>
        <w:ind w:firstLine="520" w:firstLineChars="200"/>
        <w:rPr>
          <w:rFonts w:hint="eastAsia" w:ascii="宋体" w:hAnsi="宋体" w:cs="宋体"/>
          <w:color w:val="000000"/>
          <w:spacing w:val="10"/>
          <w:sz w:val="24"/>
          <w:szCs w:val="24"/>
        </w:rPr>
      </w:pPr>
      <w:r>
        <w:rPr>
          <w:rFonts w:ascii="宋体" w:hAnsi="宋体" w:cs="宋体"/>
          <w:color w:val="000000"/>
          <w:spacing w:val="10"/>
          <w:sz w:val="24"/>
          <w:szCs w:val="24"/>
        </w:rPr>
        <w:t xml:space="preserve">         N ---</w:t>
      </w:r>
      <w:r>
        <w:rPr>
          <w:rFonts w:hint="eastAsia" w:ascii="宋体" w:hAnsi="宋体" w:cs="宋体"/>
          <w:color w:val="000000"/>
          <w:spacing w:val="10"/>
          <w:sz w:val="24"/>
          <w:szCs w:val="24"/>
        </w:rPr>
        <w:t>收益年限</w:t>
      </w:r>
    </w:p>
    <w:p>
      <w:pPr>
        <w:spacing w:line="440" w:lineRule="exact"/>
        <w:ind w:firstLine="480" w:firstLineChars="200"/>
        <w:rPr>
          <w:rFonts w:ascii="宋体"/>
          <w:color w:val="000000"/>
          <w:spacing w:val="10"/>
          <w:sz w:val="24"/>
          <w:szCs w:val="24"/>
        </w:rPr>
      </w:pPr>
      <w:r>
        <w:rPr>
          <w:rFonts w:hint="eastAsia" w:ascii="宋体" w:hAnsi="宋体" w:cs="宋体"/>
          <w:sz w:val="24"/>
          <w:szCs w:val="24"/>
        </w:rPr>
        <w:t>综上所述，本次估价采用收益法进行评估</w:t>
      </w:r>
      <w:r>
        <w:rPr>
          <w:rFonts w:hint="eastAsia" w:ascii="宋体" w:hAnsi="宋体" w:cs="宋体"/>
          <w:sz w:val="24"/>
          <w:szCs w:val="24"/>
          <w:lang w:val="en-US" w:eastAsia="zh-CN"/>
        </w:rPr>
        <w:t>01幢101号、02幢104、105号商业用房，采用比较法、收益法进行评估01幢305号、02幢305、306号住宅用房</w:t>
      </w:r>
      <w:r>
        <w:rPr>
          <w:rFonts w:hint="eastAsia" w:ascii="宋体" w:hAnsi="宋体" w:cs="宋体"/>
          <w:sz w:val="24"/>
          <w:szCs w:val="24"/>
        </w:rPr>
        <w:t>。</w:t>
      </w:r>
    </w:p>
    <w:p>
      <w:pPr>
        <w:widowControl/>
        <w:spacing w:line="360" w:lineRule="auto"/>
        <w:rPr>
          <w:rFonts w:ascii="宋体"/>
          <w:b/>
          <w:bCs/>
          <w:sz w:val="24"/>
          <w:szCs w:val="24"/>
          <w:highlight w:val="none"/>
        </w:rPr>
      </w:pPr>
      <w:r>
        <w:rPr>
          <w:rFonts w:hint="eastAsia" w:ascii="宋体" w:hAnsi="宋体" w:cs="宋体"/>
          <w:b/>
          <w:bCs/>
          <w:sz w:val="24"/>
          <w:szCs w:val="24"/>
          <w:highlight w:val="none"/>
        </w:rPr>
        <w:t>五、估价测算过程</w:t>
      </w:r>
    </w:p>
    <w:p>
      <w:pPr>
        <w:widowControl/>
        <w:spacing w:line="360" w:lineRule="auto"/>
        <w:rPr>
          <w:rFonts w:ascii="宋体"/>
          <w:b/>
          <w:bCs/>
          <w:spacing w:val="10"/>
          <w:sz w:val="24"/>
          <w:szCs w:val="24"/>
        </w:rPr>
      </w:pPr>
      <w:r>
        <w:rPr>
          <w:rFonts w:hint="eastAsia" w:ascii="宋体" w:hAnsi="宋体" w:cs="宋体"/>
          <w:b/>
          <w:bCs/>
          <w:spacing w:val="10"/>
          <w:sz w:val="24"/>
          <w:szCs w:val="24"/>
        </w:rPr>
        <w:t>（一）收益法测算</w:t>
      </w:r>
      <w:r>
        <w:rPr>
          <w:rFonts w:hint="eastAsia" w:ascii="宋体" w:hAnsi="宋体" w:cs="宋体"/>
          <w:b/>
          <w:bCs/>
          <w:spacing w:val="10"/>
          <w:sz w:val="24"/>
          <w:szCs w:val="24"/>
          <w:lang w:val="en-US" w:eastAsia="zh-CN"/>
        </w:rPr>
        <w:t>一层101、104、105号</w:t>
      </w:r>
      <w:r>
        <w:rPr>
          <w:rFonts w:hint="eastAsia" w:ascii="宋体" w:hAnsi="宋体" w:cs="宋体"/>
          <w:b/>
          <w:bCs/>
          <w:spacing w:val="10"/>
          <w:sz w:val="24"/>
          <w:szCs w:val="24"/>
        </w:rPr>
        <w:t>商业用房价格</w:t>
      </w:r>
    </w:p>
    <w:p>
      <w:pPr>
        <w:widowControl/>
        <w:spacing w:line="500" w:lineRule="exact"/>
        <w:ind w:firstLine="520" w:firstLineChars="200"/>
        <w:rPr>
          <w:b/>
          <w:bCs/>
          <w:sz w:val="28"/>
          <w:szCs w:val="28"/>
        </w:rPr>
      </w:pPr>
      <w:r>
        <w:rPr>
          <w:rFonts w:ascii="宋体" w:hAnsi="宋体" w:cs="宋体"/>
          <w:spacing w:val="10"/>
          <w:sz w:val="24"/>
          <w:szCs w:val="24"/>
        </w:rPr>
        <w:t>1.</w:t>
      </w:r>
      <w:r>
        <w:rPr>
          <w:rFonts w:hint="eastAsia" w:ascii="宋体" w:hAnsi="宋体" w:cs="宋体"/>
          <w:spacing w:val="10"/>
          <w:sz w:val="24"/>
          <w:szCs w:val="24"/>
        </w:rPr>
        <w:t>收益法适用于估价对象是有经济收益或潜在经济收益的房地产。由于估价对象具有客观收益，因此可用适当的报酬率，将其未来各年的净收益折算到价值时点上，计算出估价对象房地产收益价格。</w:t>
      </w:r>
    </w:p>
    <w:p>
      <w:pPr>
        <w:widowControl/>
        <w:spacing w:line="500" w:lineRule="exact"/>
        <w:ind w:firstLine="520" w:firstLineChars="200"/>
        <w:rPr>
          <w:rFonts w:ascii="宋体"/>
          <w:spacing w:val="10"/>
          <w:sz w:val="24"/>
          <w:szCs w:val="24"/>
        </w:rPr>
      </w:pPr>
      <w:r>
        <w:rPr>
          <w:rFonts w:ascii="宋体" w:hAnsi="宋体" w:cs="宋体"/>
          <w:spacing w:val="10"/>
          <w:sz w:val="24"/>
          <w:szCs w:val="24"/>
        </w:rPr>
        <w:t>2.</w:t>
      </w:r>
      <w:r>
        <w:rPr>
          <w:rFonts w:hint="eastAsia" w:ascii="宋体" w:hAnsi="宋体" w:cs="宋体"/>
          <w:spacing w:val="10"/>
          <w:sz w:val="24"/>
          <w:szCs w:val="24"/>
        </w:rPr>
        <w:t>估价技术路线为：先求取估价对象的客观租金和区域内同类型房地产的报酬率。然后求取估价对象的客观费用，用客观租金减去客观费用即得到估价对象的年净收益。再运用所求取的商业房地产报酬率将其未来各年的净收益折算到价值时点上，计算出估价对象房地产收益价格。</w:t>
      </w:r>
    </w:p>
    <w:p>
      <w:pPr>
        <w:widowControl/>
        <w:spacing w:line="500" w:lineRule="exact"/>
        <w:ind w:firstLine="520" w:firstLineChars="200"/>
        <w:rPr>
          <w:rFonts w:ascii="宋体"/>
          <w:spacing w:val="10"/>
          <w:sz w:val="24"/>
          <w:szCs w:val="24"/>
        </w:rPr>
      </w:pPr>
      <w:r>
        <w:rPr>
          <w:rFonts w:hint="eastAsia" w:ascii="宋体" w:hAnsi="宋体" w:cs="宋体"/>
          <w:spacing w:val="10"/>
          <w:sz w:val="24"/>
          <w:szCs w:val="24"/>
        </w:rPr>
        <w:t>收益法的基本公式为：</w:t>
      </w:r>
    </w:p>
    <w:p>
      <w:pPr>
        <w:widowControl/>
        <w:spacing w:line="360" w:lineRule="auto"/>
        <w:ind w:firstLine="520" w:firstLineChars="200"/>
        <w:rPr>
          <w:rFonts w:ascii="宋体"/>
          <w:color w:val="000000"/>
          <w:spacing w:val="10"/>
          <w:sz w:val="24"/>
          <w:szCs w:val="24"/>
        </w:rPr>
      </w:pPr>
      <w:r>
        <w:rPr>
          <w:rFonts w:ascii="宋体" w:hAnsi="宋体" w:cs="宋体"/>
          <w:color w:val="000000"/>
          <w:spacing w:val="10"/>
          <w:sz w:val="24"/>
          <w:szCs w:val="24"/>
        </w:rPr>
        <w:t>P= A/(Y-g)</w:t>
      </w:r>
      <w:r>
        <w:rPr>
          <w:rFonts w:hint="eastAsia" w:ascii="宋体" w:hAnsi="宋体" w:cs="宋体"/>
          <w:color w:val="000000"/>
          <w:spacing w:val="10"/>
          <w:sz w:val="24"/>
          <w:szCs w:val="24"/>
        </w:rPr>
        <w:t>×</w:t>
      </w:r>
      <w:r>
        <w:rPr>
          <w:rFonts w:ascii="宋体"/>
          <w:color w:val="000000"/>
          <w:spacing w:val="10"/>
          <w:sz w:val="24"/>
          <w:szCs w:val="24"/>
        </w:rPr>
        <w:t>{</w:t>
      </w:r>
      <w:r>
        <w:rPr>
          <w:rFonts w:ascii="宋体" w:hAnsi="宋体" w:cs="宋体"/>
          <w:color w:val="000000"/>
          <w:spacing w:val="10"/>
          <w:sz w:val="24"/>
          <w:szCs w:val="24"/>
        </w:rPr>
        <w:t>1-[(1+g)/</w:t>
      </w:r>
      <w:r>
        <w:rPr>
          <w:rFonts w:hint="eastAsia" w:ascii="宋体" w:hAnsi="宋体" w:cs="宋体"/>
          <w:color w:val="000000"/>
          <w:spacing w:val="10"/>
          <w:sz w:val="24"/>
          <w:szCs w:val="24"/>
        </w:rPr>
        <w:t>（</w:t>
      </w:r>
      <w:r>
        <w:rPr>
          <w:rFonts w:ascii="宋体" w:hAnsi="宋体" w:cs="宋体"/>
          <w:color w:val="000000"/>
          <w:spacing w:val="10"/>
          <w:sz w:val="24"/>
          <w:szCs w:val="24"/>
        </w:rPr>
        <w:t>1+Y</w:t>
      </w:r>
      <w:r>
        <w:rPr>
          <w:rFonts w:hint="eastAsia" w:ascii="宋体" w:hAnsi="宋体" w:cs="宋体"/>
          <w:color w:val="000000"/>
          <w:spacing w:val="10"/>
          <w:sz w:val="24"/>
          <w:szCs w:val="24"/>
        </w:rPr>
        <w:t>）</w:t>
      </w:r>
      <w:r>
        <w:rPr>
          <w:rFonts w:ascii="宋体" w:hAnsi="宋体" w:cs="宋体"/>
          <w:color w:val="000000"/>
          <w:spacing w:val="10"/>
          <w:sz w:val="24"/>
          <w:szCs w:val="24"/>
        </w:rPr>
        <w:t>]</w:t>
      </w:r>
      <w:r>
        <w:rPr>
          <w:rFonts w:ascii="宋体" w:hAnsi="宋体" w:cs="宋体"/>
          <w:color w:val="000000"/>
          <w:spacing w:val="10"/>
          <w:sz w:val="24"/>
          <w:szCs w:val="24"/>
          <w:vertAlign w:val="superscript"/>
        </w:rPr>
        <w:t>N</w:t>
      </w:r>
      <w:r>
        <w:rPr>
          <w:rFonts w:ascii="宋体"/>
          <w:color w:val="000000"/>
          <w:spacing w:val="10"/>
          <w:sz w:val="24"/>
          <w:szCs w:val="24"/>
        </w:rPr>
        <w:t>}</w:t>
      </w:r>
    </w:p>
    <w:p>
      <w:pPr>
        <w:widowControl/>
        <w:spacing w:line="360" w:lineRule="auto"/>
        <w:ind w:left="927"/>
        <w:rPr>
          <w:rFonts w:ascii="宋体"/>
          <w:color w:val="000000"/>
          <w:spacing w:val="10"/>
          <w:sz w:val="24"/>
          <w:szCs w:val="24"/>
        </w:rPr>
      </w:pPr>
      <w:r>
        <w:rPr>
          <w:rFonts w:hint="eastAsia" w:ascii="宋体" w:hAnsi="宋体" w:cs="宋体"/>
          <w:color w:val="000000"/>
          <w:spacing w:val="10"/>
          <w:sz w:val="24"/>
          <w:szCs w:val="24"/>
        </w:rPr>
        <w:t>式中：</w:t>
      </w:r>
      <w:r>
        <w:rPr>
          <w:rFonts w:ascii="宋体" w:hAnsi="宋体" w:cs="宋体"/>
          <w:color w:val="000000"/>
          <w:spacing w:val="10"/>
          <w:sz w:val="24"/>
          <w:szCs w:val="24"/>
        </w:rPr>
        <w:t>P ---</w:t>
      </w:r>
      <w:r>
        <w:rPr>
          <w:rFonts w:hint="eastAsia" w:ascii="宋体" w:hAnsi="宋体" w:cs="宋体"/>
          <w:color w:val="000000"/>
          <w:spacing w:val="10"/>
          <w:sz w:val="24"/>
          <w:szCs w:val="24"/>
        </w:rPr>
        <w:t>房地产价格</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A ---</w:t>
      </w:r>
      <w:r>
        <w:rPr>
          <w:rFonts w:hint="eastAsia" w:ascii="宋体" w:hAnsi="宋体" w:cs="宋体"/>
          <w:color w:val="000000"/>
          <w:spacing w:val="10"/>
          <w:sz w:val="24"/>
          <w:szCs w:val="24"/>
        </w:rPr>
        <w:t>房地产年净收益</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Y ---</w:t>
      </w:r>
      <w:r>
        <w:rPr>
          <w:rFonts w:hint="eastAsia" w:ascii="宋体" w:hAnsi="宋体" w:cs="宋体"/>
          <w:color w:val="000000"/>
          <w:spacing w:val="10"/>
          <w:sz w:val="24"/>
          <w:szCs w:val="24"/>
        </w:rPr>
        <w:t>报酬率</w:t>
      </w:r>
    </w:p>
    <w:p>
      <w:pPr>
        <w:widowControl/>
        <w:spacing w:line="360" w:lineRule="auto"/>
        <w:ind w:left="927"/>
        <w:rPr>
          <w:rFonts w:ascii="宋体"/>
          <w:color w:val="000000"/>
          <w:spacing w:val="10"/>
          <w:sz w:val="24"/>
          <w:szCs w:val="24"/>
        </w:rPr>
      </w:pPr>
      <w:r>
        <w:rPr>
          <w:rFonts w:ascii="宋体" w:hAnsi="宋体" w:cs="宋体"/>
          <w:color w:val="000000"/>
          <w:spacing w:val="10"/>
          <w:sz w:val="24"/>
          <w:szCs w:val="24"/>
        </w:rPr>
        <w:t xml:space="preserve">      g ---</w:t>
      </w:r>
      <w:r>
        <w:rPr>
          <w:rFonts w:hint="eastAsia" w:ascii="宋体" w:hAnsi="宋体" w:cs="宋体"/>
          <w:color w:val="000000"/>
          <w:spacing w:val="10"/>
          <w:sz w:val="24"/>
          <w:szCs w:val="24"/>
        </w:rPr>
        <w:t>上涨率</w:t>
      </w:r>
    </w:p>
    <w:p>
      <w:pPr>
        <w:spacing w:line="440" w:lineRule="exact"/>
        <w:ind w:firstLine="520" w:firstLineChars="200"/>
        <w:rPr>
          <w:rFonts w:hint="eastAsia" w:ascii="宋体" w:hAnsi="宋体" w:cs="宋体"/>
          <w:color w:val="000000"/>
          <w:spacing w:val="10"/>
          <w:sz w:val="24"/>
          <w:szCs w:val="24"/>
        </w:rPr>
      </w:pPr>
      <w:r>
        <w:rPr>
          <w:rFonts w:ascii="宋体" w:hAnsi="宋体" w:cs="宋体"/>
          <w:color w:val="000000"/>
          <w:spacing w:val="10"/>
          <w:sz w:val="24"/>
          <w:szCs w:val="24"/>
        </w:rPr>
        <w:t xml:space="preserve">         N ---</w:t>
      </w:r>
      <w:r>
        <w:rPr>
          <w:rFonts w:hint="eastAsia" w:ascii="宋体" w:hAnsi="宋体" w:cs="宋体"/>
          <w:color w:val="000000"/>
          <w:spacing w:val="10"/>
          <w:sz w:val="24"/>
          <w:szCs w:val="24"/>
        </w:rPr>
        <w:t>收益年限</w:t>
      </w:r>
    </w:p>
    <w:p>
      <w:pPr>
        <w:widowControl/>
        <w:spacing w:line="500" w:lineRule="exact"/>
        <w:ind w:firstLine="520" w:firstLineChars="200"/>
        <w:rPr>
          <w:rFonts w:ascii="宋体"/>
          <w:spacing w:val="10"/>
          <w:sz w:val="24"/>
          <w:szCs w:val="24"/>
        </w:rPr>
      </w:pPr>
      <w:r>
        <w:rPr>
          <w:rFonts w:ascii="宋体" w:hAnsi="宋体" w:cs="宋体"/>
          <w:spacing w:val="10"/>
          <w:sz w:val="24"/>
          <w:szCs w:val="24"/>
        </w:rPr>
        <w:t>3.</w:t>
      </w:r>
      <w:r>
        <w:rPr>
          <w:rFonts w:hint="eastAsia" w:ascii="宋体" w:hAnsi="宋体" w:cs="宋体"/>
          <w:spacing w:val="10"/>
          <w:sz w:val="24"/>
          <w:szCs w:val="24"/>
        </w:rPr>
        <w:t>收益法测算步骤：</w:t>
      </w:r>
    </w:p>
    <w:p>
      <w:pPr>
        <w:widowControl/>
        <w:spacing w:line="500" w:lineRule="exact"/>
        <w:ind w:firstLine="520" w:firstLineChars="200"/>
        <w:rPr>
          <w:rFonts w:ascii="宋体"/>
          <w:spacing w:val="10"/>
          <w:sz w:val="24"/>
          <w:szCs w:val="24"/>
        </w:rPr>
      </w:pPr>
      <w:r>
        <w:rPr>
          <w:rFonts w:hint="eastAsia" w:ascii="宋体" w:hAnsi="宋体" w:cs="宋体"/>
          <w:spacing w:val="10"/>
          <w:sz w:val="24"/>
          <w:szCs w:val="24"/>
        </w:rPr>
        <w:t>①依据市场比较的测算原理，选取影响租金收入的因素进行调整，求取估价对象潜在毛租金收入，以替代原理采取市场提取的方法求取空置损失、其他收入</w:t>
      </w:r>
      <w:r>
        <w:rPr>
          <w:rFonts w:ascii="宋体" w:hAnsi="宋体" w:cs="宋体"/>
          <w:spacing w:val="10"/>
          <w:sz w:val="24"/>
          <w:szCs w:val="24"/>
        </w:rPr>
        <w:t>(</w:t>
      </w:r>
      <w:r>
        <w:rPr>
          <w:rFonts w:hint="eastAsia" w:ascii="宋体" w:hAnsi="宋体" w:cs="宋体"/>
          <w:spacing w:val="10"/>
          <w:sz w:val="24"/>
          <w:szCs w:val="24"/>
        </w:rPr>
        <w:t>如租赁保证金、押金的利息收入</w:t>
      </w:r>
      <w:r>
        <w:rPr>
          <w:rFonts w:ascii="宋体" w:hAnsi="宋体" w:cs="宋体"/>
          <w:spacing w:val="10"/>
          <w:sz w:val="24"/>
          <w:szCs w:val="24"/>
        </w:rPr>
        <w:t>)</w:t>
      </w:r>
      <w:r>
        <w:rPr>
          <w:rFonts w:hint="eastAsia" w:ascii="宋体" w:hAnsi="宋体" w:cs="宋体"/>
          <w:spacing w:val="10"/>
          <w:sz w:val="24"/>
          <w:szCs w:val="24"/>
        </w:rPr>
        <w:t>。</w:t>
      </w:r>
    </w:p>
    <w:p>
      <w:pPr>
        <w:widowControl/>
        <w:spacing w:line="500" w:lineRule="exact"/>
        <w:ind w:firstLine="520" w:firstLineChars="200"/>
        <w:rPr>
          <w:rFonts w:ascii="宋体"/>
          <w:spacing w:val="10"/>
          <w:sz w:val="24"/>
          <w:szCs w:val="24"/>
        </w:rPr>
      </w:pPr>
      <w:r>
        <w:rPr>
          <w:rFonts w:hint="eastAsia" w:ascii="宋体" w:hAnsi="宋体" w:cs="宋体"/>
          <w:spacing w:val="10"/>
          <w:sz w:val="24"/>
          <w:szCs w:val="24"/>
        </w:rPr>
        <w:t>②运营费用通常包括维修费、管理费、保险费、房地产税、租赁费用、租赁税费。根据租赁契约规定的租金涵义决定取舍。保证合法、安全、正常使用所需的费用由承租方负担的部分项目不计入运营费用。</w:t>
      </w:r>
    </w:p>
    <w:p>
      <w:pPr>
        <w:widowControl/>
        <w:spacing w:line="500" w:lineRule="exact"/>
        <w:ind w:firstLine="520" w:firstLineChars="200"/>
        <w:rPr>
          <w:rFonts w:ascii="宋体"/>
          <w:spacing w:val="10"/>
          <w:sz w:val="24"/>
          <w:szCs w:val="24"/>
        </w:rPr>
      </w:pPr>
      <w:r>
        <w:rPr>
          <w:rFonts w:hint="eastAsia" w:ascii="宋体" w:hAnsi="宋体" w:cs="宋体"/>
          <w:spacing w:val="10"/>
          <w:sz w:val="24"/>
          <w:szCs w:val="24"/>
        </w:rPr>
        <w:t>③报酬率采用采用安全利率加风险调整值法。</w:t>
      </w:r>
    </w:p>
    <w:p>
      <w:pPr>
        <w:widowControl/>
        <w:spacing w:line="500" w:lineRule="exact"/>
        <w:ind w:firstLine="520" w:firstLineChars="200"/>
        <w:rPr>
          <w:rFonts w:ascii="宋体"/>
          <w:spacing w:val="10"/>
          <w:sz w:val="24"/>
          <w:szCs w:val="24"/>
        </w:rPr>
      </w:pPr>
      <w:r>
        <w:rPr>
          <w:rFonts w:hint="eastAsia" w:ascii="宋体" w:hAnsi="宋体" w:cs="宋体"/>
          <w:spacing w:val="10"/>
          <w:sz w:val="24"/>
          <w:szCs w:val="24"/>
        </w:rPr>
        <w:t>④收益期限一般根据建筑物剩余经济寿命和建设用地使用权剩余期限来确定。</w:t>
      </w:r>
    </w:p>
    <w:p>
      <w:pPr>
        <w:widowControl/>
        <w:spacing w:line="500" w:lineRule="exact"/>
        <w:ind w:firstLine="520" w:firstLineChars="200"/>
        <w:rPr>
          <w:rFonts w:ascii="宋体"/>
          <w:spacing w:val="10"/>
          <w:sz w:val="24"/>
          <w:szCs w:val="24"/>
        </w:rPr>
      </w:pPr>
      <w:bookmarkStart w:id="34" w:name="_Toc445130878"/>
      <w:bookmarkStart w:id="35" w:name="_Toc427781108"/>
      <w:bookmarkStart w:id="36" w:name="_Toc427781623"/>
      <w:r>
        <w:rPr>
          <w:rFonts w:hint="eastAsia" w:ascii="宋体" w:hAnsi="宋体" w:cs="宋体"/>
          <w:spacing w:val="10"/>
          <w:sz w:val="24"/>
          <w:szCs w:val="24"/>
        </w:rPr>
        <w:t>⑤净收益的逐年递增比率</w:t>
      </w:r>
      <w:r>
        <w:rPr>
          <w:rFonts w:ascii="宋体" w:hAnsi="宋体" w:cs="宋体"/>
          <w:spacing w:val="10"/>
          <w:sz w:val="24"/>
          <w:szCs w:val="24"/>
        </w:rPr>
        <w:t xml:space="preserve">, </w:t>
      </w:r>
      <w:r>
        <w:rPr>
          <w:rFonts w:hint="eastAsia" w:ascii="宋体" w:hAnsi="宋体" w:cs="宋体"/>
          <w:spacing w:val="10"/>
          <w:sz w:val="24"/>
          <w:szCs w:val="24"/>
        </w:rPr>
        <w:t>是依据估价对象类似房地产历年租赁资料，根据替代原理，通过对同一供需圈内房地产样点的租赁价格变化分析求取。</w:t>
      </w:r>
      <w:bookmarkEnd w:id="34"/>
      <w:bookmarkEnd w:id="35"/>
      <w:bookmarkEnd w:id="36"/>
    </w:p>
    <w:p>
      <w:pPr>
        <w:spacing w:line="500" w:lineRule="exact"/>
        <w:ind w:firstLine="585" w:firstLineChars="225"/>
        <w:rPr>
          <w:rFonts w:ascii="宋体"/>
          <w:spacing w:val="10"/>
          <w:sz w:val="24"/>
          <w:szCs w:val="24"/>
        </w:rPr>
      </w:pPr>
      <w:r>
        <w:rPr>
          <w:rFonts w:ascii="宋体" w:hAnsi="宋体" w:cs="宋体"/>
          <w:spacing w:val="10"/>
          <w:sz w:val="24"/>
          <w:szCs w:val="24"/>
        </w:rPr>
        <w:t xml:space="preserve">4. </w:t>
      </w:r>
      <w:r>
        <w:rPr>
          <w:rFonts w:hint="eastAsia" w:ascii="宋体" w:hAnsi="宋体" w:cs="宋体"/>
          <w:spacing w:val="10"/>
          <w:sz w:val="24"/>
          <w:szCs w:val="24"/>
        </w:rPr>
        <w:t>收益法详细计算过程</w:t>
      </w:r>
    </w:p>
    <w:p>
      <w:pPr>
        <w:spacing w:line="500" w:lineRule="exact"/>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1</w:t>
      </w:r>
      <w:r>
        <w:rPr>
          <w:rFonts w:hint="eastAsia" w:ascii="宋体" w:hAnsi="宋体" w:cs="宋体"/>
          <w:spacing w:val="10"/>
          <w:sz w:val="24"/>
          <w:szCs w:val="24"/>
        </w:rPr>
        <w:t>）年客观租金的确定：</w:t>
      </w:r>
    </w:p>
    <w:p>
      <w:pPr>
        <w:widowControl/>
        <w:spacing w:line="500" w:lineRule="exact"/>
        <w:ind w:firstLine="520" w:firstLineChars="200"/>
        <w:rPr>
          <w:rFonts w:ascii="宋体"/>
          <w:spacing w:val="10"/>
          <w:sz w:val="24"/>
          <w:szCs w:val="24"/>
        </w:rPr>
      </w:pPr>
      <w:r>
        <w:rPr>
          <w:rFonts w:hint="eastAsia" w:ascii="宋体" w:hAnsi="宋体" w:cs="宋体"/>
          <w:spacing w:val="10"/>
          <w:sz w:val="24"/>
          <w:szCs w:val="24"/>
        </w:rPr>
        <w:t>经估价人员对周边类似房地产调查并结合估价对象的实际情况，从中筛选出以下与估价对象类似程度最高的以下可比实例：</w:t>
      </w:r>
    </w:p>
    <w:p>
      <w:pPr>
        <w:ind w:firstLine="2990" w:firstLineChars="1150"/>
        <w:rPr>
          <w:rFonts w:ascii="宋体"/>
          <w:spacing w:val="10"/>
          <w:sz w:val="24"/>
          <w:szCs w:val="24"/>
        </w:rPr>
      </w:pPr>
    </w:p>
    <w:p>
      <w:pPr>
        <w:ind w:firstLine="2990" w:firstLineChars="1150"/>
        <w:rPr>
          <w:rFonts w:hint="eastAsia" w:ascii="宋体" w:hAnsi="宋体" w:cs="宋体"/>
          <w:spacing w:val="10"/>
          <w:sz w:val="24"/>
          <w:szCs w:val="24"/>
        </w:rPr>
      </w:pPr>
      <w:r>
        <w:rPr>
          <w:rFonts w:hint="eastAsia" w:ascii="宋体" w:hAnsi="宋体" w:cs="宋体"/>
          <w:spacing w:val="10"/>
          <w:sz w:val="24"/>
          <w:szCs w:val="24"/>
        </w:rPr>
        <w:t>类似房地产日租金调查表</w:t>
      </w:r>
    </w:p>
    <w:p>
      <w:pPr>
        <w:rPr>
          <w:rFonts w:hint="default" w:ascii="宋体" w:hAnsi="宋体" w:eastAsia="宋体" w:cs="宋体"/>
          <w:spacing w:val="10"/>
          <w:sz w:val="24"/>
          <w:szCs w:val="24"/>
          <w:lang w:val="en-US" w:eastAsia="zh-CN"/>
        </w:rPr>
      </w:pPr>
      <w:r>
        <w:rPr>
          <w:rFonts w:hint="eastAsia" w:ascii="宋体" w:hAnsi="宋体" w:cs="宋体"/>
          <w:spacing w:val="10"/>
          <w:sz w:val="24"/>
          <w:szCs w:val="24"/>
          <w:lang w:val="en-US" w:eastAsia="zh-CN"/>
        </w:rPr>
        <w:t>01幢101号</w:t>
      </w:r>
    </w:p>
    <w:tbl>
      <w:tblPr>
        <w:tblStyle w:val="40"/>
        <w:tblW w:w="8289" w:type="dxa"/>
        <w:tblInd w:w="15" w:type="dxa"/>
        <w:tblLayout w:type="fixed"/>
        <w:tblCellMar>
          <w:top w:w="15" w:type="dxa"/>
          <w:left w:w="15" w:type="dxa"/>
          <w:bottom w:w="15" w:type="dxa"/>
          <w:right w:w="15" w:type="dxa"/>
        </w:tblCellMar>
      </w:tblPr>
      <w:tblGrid>
        <w:gridCol w:w="1079"/>
        <w:gridCol w:w="1214"/>
        <w:gridCol w:w="791"/>
        <w:gridCol w:w="1005"/>
        <w:gridCol w:w="1815"/>
        <w:gridCol w:w="1005"/>
        <w:gridCol w:w="1380"/>
      </w:tblGrid>
      <w:tr>
        <w:tblPrEx>
          <w:tblLayout w:type="fixed"/>
          <w:tblCellMar>
            <w:top w:w="15" w:type="dxa"/>
            <w:left w:w="15" w:type="dxa"/>
            <w:bottom w:w="15" w:type="dxa"/>
            <w:right w:w="15" w:type="dxa"/>
          </w:tblCellMar>
        </w:tblPrEx>
        <w:trPr>
          <w:trHeight w:val="45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color w:val="000000"/>
                <w:sz w:val="18"/>
                <w:szCs w:val="18"/>
              </w:rPr>
            </w:pP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坐落</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用途</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交易类型</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付款方式</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时点</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租金（元</w:t>
            </w:r>
            <w:r>
              <w:rPr>
                <w:rFonts w:ascii="宋体" w:hAnsi="宋体" w:cs="宋体"/>
                <w:color w:val="000000"/>
                <w:kern w:val="0"/>
                <w:sz w:val="18"/>
                <w:szCs w:val="18"/>
              </w:rPr>
              <w:t>/</w:t>
            </w:r>
            <w:r>
              <w:rPr>
                <w:rFonts w:hint="eastAsia" w:ascii="宋体" w:hAnsi="宋体" w:cs="宋体"/>
                <w:color w:val="000000"/>
                <w:kern w:val="0"/>
                <w:sz w:val="18"/>
                <w:szCs w:val="18"/>
              </w:rPr>
              <w:t>㎡</w:t>
            </w:r>
            <w:r>
              <w:rPr>
                <w:rFonts w:ascii="宋体" w:cs="宋体"/>
                <w:color w:val="000000"/>
                <w:kern w:val="0"/>
                <w:sz w:val="18"/>
                <w:szCs w:val="18"/>
              </w:rPr>
              <w:t>.</w:t>
            </w:r>
            <w:r>
              <w:rPr>
                <w:rFonts w:hint="eastAsia" w:ascii="宋体" w:hAnsi="宋体" w:cs="宋体"/>
                <w:color w:val="000000"/>
                <w:kern w:val="0"/>
                <w:sz w:val="18"/>
                <w:szCs w:val="18"/>
              </w:rPr>
              <w:t>天）</w:t>
            </w:r>
          </w:p>
        </w:tc>
      </w:tr>
      <w:tr>
        <w:tblPrEx>
          <w:tblLayout w:type="fixed"/>
          <w:tblCellMar>
            <w:top w:w="15" w:type="dxa"/>
            <w:left w:w="15" w:type="dxa"/>
            <w:bottom w:w="15" w:type="dxa"/>
            <w:right w:w="15" w:type="dxa"/>
          </w:tblCellMar>
        </w:tblPrEx>
        <w:trPr>
          <w:trHeight w:val="675"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估价对象</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商业</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ascii="宋体" w:cs="宋体"/>
                <w:color w:val="000000"/>
                <w:kern w:val="0"/>
                <w:sz w:val="18"/>
                <w:szCs w:val="18"/>
              </w:rPr>
              <w:t>-</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押一付三，先付后用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color w:val="000000"/>
                <w:sz w:val="18"/>
                <w:szCs w:val="18"/>
              </w:rPr>
            </w:pPr>
            <w:r>
              <w:rPr>
                <w:rFonts w:ascii="宋体" w:hAnsi="宋体" w:cs="宋体"/>
                <w:color w:val="000000"/>
                <w:kern w:val="0"/>
                <w:sz w:val="18"/>
                <w:szCs w:val="18"/>
              </w:rPr>
              <w:t>201</w:t>
            </w:r>
            <w:r>
              <w:rPr>
                <w:rFonts w:hint="eastAsia" w:ascii="宋体" w:hAnsi="宋体" w:cs="宋体"/>
                <w:color w:val="000000"/>
                <w:kern w:val="0"/>
                <w:sz w:val="18"/>
                <w:szCs w:val="18"/>
                <w:lang w:val="en-US" w:eastAsia="zh-CN"/>
              </w:rPr>
              <w:t>9</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02</w:t>
            </w:r>
            <w:r>
              <w:rPr>
                <w:rFonts w:ascii="宋体" w:hAnsi="宋体" w:cs="宋体"/>
                <w:color w:val="000000"/>
                <w:kern w:val="0"/>
                <w:sz w:val="18"/>
                <w:szCs w:val="18"/>
              </w:rPr>
              <w:t>/</w:t>
            </w:r>
            <w:r>
              <w:rPr>
                <w:rFonts w:hint="eastAsia" w:ascii="宋体" w:hAnsi="宋体" w:cs="宋体"/>
                <w:color w:val="000000"/>
                <w:kern w:val="0"/>
                <w:sz w:val="18"/>
                <w:szCs w:val="18"/>
              </w:rPr>
              <w:t>25</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ascii="宋体" w:cs="宋体"/>
                <w:color w:val="000000"/>
                <w:kern w:val="0"/>
                <w:sz w:val="18"/>
                <w:szCs w:val="18"/>
              </w:rPr>
              <w:t>-</w:t>
            </w:r>
          </w:p>
        </w:tc>
      </w:tr>
      <w:tr>
        <w:tblPrEx>
          <w:tblLayout w:type="fixed"/>
          <w:tblCellMar>
            <w:top w:w="15" w:type="dxa"/>
            <w:left w:w="15" w:type="dxa"/>
            <w:bottom w:w="15" w:type="dxa"/>
            <w:right w:w="15" w:type="dxa"/>
          </w:tblCellMar>
        </w:tblPrEx>
        <w:trPr>
          <w:trHeight w:val="45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可比实例</w:t>
            </w:r>
            <w:r>
              <w:rPr>
                <w:rFonts w:ascii="宋体" w:hAnsi="宋体" w:cs="宋体"/>
                <w:color w:val="000000"/>
                <w:kern w:val="0"/>
                <w:sz w:val="18"/>
                <w:szCs w:val="18"/>
              </w:rPr>
              <w:t>A</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spacing w:val="10"/>
                <w:sz w:val="18"/>
                <w:szCs w:val="18"/>
              </w:rPr>
              <w:t>贝贝婴儿游泳馆</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商业</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出租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押一付三，先付后用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ascii="宋体" w:hAnsi="宋体" w:cs="宋体"/>
                <w:color w:val="000000"/>
                <w:kern w:val="0"/>
                <w:sz w:val="18"/>
                <w:szCs w:val="18"/>
              </w:rPr>
              <w:t>201</w:t>
            </w:r>
            <w:r>
              <w:rPr>
                <w:rFonts w:hint="eastAsia" w:ascii="宋体" w:hAnsi="宋体" w:cs="宋体"/>
                <w:color w:val="000000"/>
                <w:kern w:val="0"/>
                <w:sz w:val="18"/>
                <w:szCs w:val="18"/>
                <w:lang w:val="en-US" w:eastAsia="zh-CN"/>
              </w:rPr>
              <w:t>9</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02</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hint="eastAsia" w:ascii="宋体" w:hAnsi="宋体" w:cs="宋体"/>
                <w:color w:val="000000"/>
                <w:kern w:val="0"/>
                <w:sz w:val="18"/>
                <w:szCs w:val="18"/>
                <w:lang w:val="en-US" w:eastAsia="zh-CN"/>
              </w:rPr>
              <w:t>1.27</w:t>
            </w:r>
          </w:p>
        </w:tc>
      </w:tr>
      <w:tr>
        <w:tblPrEx>
          <w:tblLayout w:type="fixed"/>
          <w:tblCellMar>
            <w:top w:w="15" w:type="dxa"/>
            <w:left w:w="15" w:type="dxa"/>
            <w:bottom w:w="15" w:type="dxa"/>
            <w:right w:w="15" w:type="dxa"/>
          </w:tblCellMar>
        </w:tblPrEx>
        <w:trPr>
          <w:trHeight w:val="45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可比实例</w:t>
            </w:r>
            <w:r>
              <w:rPr>
                <w:rFonts w:ascii="宋体" w:hAnsi="宋体" w:cs="宋体"/>
                <w:color w:val="000000"/>
                <w:kern w:val="0"/>
                <w:sz w:val="18"/>
                <w:szCs w:val="18"/>
              </w:rPr>
              <w:t>B</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美芝然</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商业</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出租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押一付三，先付后用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ascii="宋体" w:hAnsi="宋体" w:cs="宋体"/>
                <w:color w:val="000000"/>
                <w:kern w:val="0"/>
                <w:sz w:val="18"/>
                <w:szCs w:val="18"/>
              </w:rPr>
              <w:t>201</w:t>
            </w:r>
            <w:r>
              <w:rPr>
                <w:rFonts w:hint="eastAsia" w:ascii="宋体" w:hAnsi="宋体" w:cs="宋体"/>
                <w:color w:val="000000"/>
                <w:kern w:val="0"/>
                <w:sz w:val="18"/>
                <w:szCs w:val="18"/>
                <w:lang w:val="en-US" w:eastAsia="zh-CN"/>
              </w:rPr>
              <w:t>9</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02</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hint="eastAsia" w:ascii="宋体" w:hAnsi="宋体" w:cs="宋体"/>
                <w:color w:val="000000"/>
                <w:kern w:val="0"/>
                <w:sz w:val="18"/>
                <w:szCs w:val="18"/>
                <w:lang w:val="en-US" w:eastAsia="zh-CN"/>
              </w:rPr>
              <w:t>1.20</w:t>
            </w:r>
          </w:p>
        </w:tc>
      </w:tr>
      <w:tr>
        <w:tblPrEx>
          <w:tblLayout w:type="fixed"/>
          <w:tblCellMar>
            <w:top w:w="15" w:type="dxa"/>
            <w:left w:w="15" w:type="dxa"/>
            <w:bottom w:w="15" w:type="dxa"/>
            <w:right w:w="15" w:type="dxa"/>
          </w:tblCellMar>
        </w:tblPrEx>
        <w:trPr>
          <w:trHeight w:val="675"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可比实例</w:t>
            </w:r>
            <w:r>
              <w:rPr>
                <w:rFonts w:ascii="宋体" w:hAnsi="宋体" w:cs="宋体"/>
                <w:color w:val="000000"/>
                <w:kern w:val="0"/>
                <w:sz w:val="18"/>
                <w:szCs w:val="18"/>
              </w:rPr>
              <w:t>C</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大台北珍珠奶茶</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商业</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出租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押一付三，先付后用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ascii="宋体" w:hAnsi="宋体" w:cs="宋体"/>
                <w:color w:val="000000"/>
                <w:kern w:val="0"/>
                <w:sz w:val="18"/>
                <w:szCs w:val="18"/>
              </w:rPr>
              <w:t>20</w:t>
            </w:r>
            <w:r>
              <w:rPr>
                <w:rFonts w:hint="eastAsia" w:ascii="宋体" w:hAnsi="宋体" w:cs="宋体"/>
                <w:color w:val="000000"/>
                <w:kern w:val="0"/>
                <w:sz w:val="18"/>
                <w:szCs w:val="18"/>
                <w:lang w:val="en-US" w:eastAsia="zh-CN"/>
              </w:rPr>
              <w:t>19</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02</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hint="eastAsia" w:ascii="宋体" w:hAnsi="宋体" w:cs="宋体"/>
                <w:color w:val="000000"/>
                <w:kern w:val="0"/>
                <w:sz w:val="18"/>
                <w:szCs w:val="18"/>
                <w:lang w:val="en-US" w:eastAsia="zh-CN"/>
              </w:rPr>
              <w:t>1.20</w:t>
            </w:r>
          </w:p>
        </w:tc>
      </w:tr>
    </w:tbl>
    <w:p>
      <w:pPr>
        <w:rPr>
          <w:rFonts w:hint="eastAsia" w:ascii="宋体"/>
          <w:spacing w:val="10"/>
          <w:sz w:val="24"/>
          <w:szCs w:val="24"/>
          <w:lang w:val="en-US" w:eastAsia="zh-CN"/>
        </w:rPr>
      </w:pPr>
      <w:r>
        <w:rPr>
          <w:rFonts w:hint="eastAsia" w:ascii="宋体"/>
          <w:spacing w:val="10"/>
          <w:sz w:val="24"/>
          <w:szCs w:val="24"/>
          <w:lang w:val="en-US" w:eastAsia="zh-CN"/>
        </w:rPr>
        <w:t>02幢104、05号</w:t>
      </w:r>
    </w:p>
    <w:tbl>
      <w:tblPr>
        <w:tblStyle w:val="40"/>
        <w:tblW w:w="8289" w:type="dxa"/>
        <w:tblInd w:w="15" w:type="dxa"/>
        <w:tblLayout w:type="fixed"/>
        <w:tblCellMar>
          <w:top w:w="15" w:type="dxa"/>
          <w:left w:w="15" w:type="dxa"/>
          <w:bottom w:w="15" w:type="dxa"/>
          <w:right w:w="15" w:type="dxa"/>
        </w:tblCellMar>
      </w:tblPr>
      <w:tblGrid>
        <w:gridCol w:w="1079"/>
        <w:gridCol w:w="1214"/>
        <w:gridCol w:w="791"/>
        <w:gridCol w:w="1005"/>
        <w:gridCol w:w="1815"/>
        <w:gridCol w:w="1005"/>
        <w:gridCol w:w="1380"/>
      </w:tblGrid>
      <w:tr>
        <w:tblPrEx>
          <w:tblLayout w:type="fixed"/>
          <w:tblCellMar>
            <w:top w:w="15" w:type="dxa"/>
            <w:left w:w="15" w:type="dxa"/>
            <w:bottom w:w="15" w:type="dxa"/>
            <w:right w:w="15" w:type="dxa"/>
          </w:tblCellMar>
        </w:tblPrEx>
        <w:trPr>
          <w:trHeight w:val="45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color w:val="000000"/>
                <w:sz w:val="18"/>
                <w:szCs w:val="18"/>
              </w:rPr>
            </w:pP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坐落</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用途</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交易类型</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付款方式</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时点</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租金（元</w:t>
            </w:r>
            <w:r>
              <w:rPr>
                <w:rFonts w:ascii="宋体" w:hAnsi="宋体" w:cs="宋体"/>
                <w:color w:val="000000"/>
                <w:kern w:val="0"/>
                <w:sz w:val="18"/>
                <w:szCs w:val="18"/>
              </w:rPr>
              <w:t>/</w:t>
            </w:r>
            <w:r>
              <w:rPr>
                <w:rFonts w:hint="eastAsia" w:ascii="宋体" w:hAnsi="宋体" w:cs="宋体"/>
                <w:color w:val="000000"/>
                <w:kern w:val="0"/>
                <w:sz w:val="18"/>
                <w:szCs w:val="18"/>
              </w:rPr>
              <w:t>㎡</w:t>
            </w:r>
            <w:r>
              <w:rPr>
                <w:rFonts w:ascii="宋体" w:cs="宋体"/>
                <w:color w:val="000000"/>
                <w:kern w:val="0"/>
                <w:sz w:val="18"/>
                <w:szCs w:val="18"/>
              </w:rPr>
              <w:t>.</w:t>
            </w:r>
            <w:r>
              <w:rPr>
                <w:rFonts w:hint="eastAsia" w:ascii="宋体" w:hAnsi="宋体" w:cs="宋体"/>
                <w:color w:val="000000"/>
                <w:kern w:val="0"/>
                <w:sz w:val="18"/>
                <w:szCs w:val="18"/>
              </w:rPr>
              <w:t>天）</w:t>
            </w:r>
          </w:p>
        </w:tc>
      </w:tr>
      <w:tr>
        <w:tblPrEx>
          <w:tblLayout w:type="fixed"/>
          <w:tblCellMar>
            <w:top w:w="15" w:type="dxa"/>
            <w:left w:w="15" w:type="dxa"/>
            <w:bottom w:w="15" w:type="dxa"/>
            <w:right w:w="15" w:type="dxa"/>
          </w:tblCellMar>
        </w:tblPrEx>
        <w:trPr>
          <w:trHeight w:val="675"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估价对象</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商业</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ascii="宋体" w:cs="宋体"/>
                <w:color w:val="000000"/>
                <w:kern w:val="0"/>
                <w:sz w:val="18"/>
                <w:szCs w:val="18"/>
              </w:rPr>
              <w:t>-</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押一付三，先付后用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color w:val="000000"/>
                <w:sz w:val="18"/>
                <w:szCs w:val="18"/>
              </w:rPr>
            </w:pPr>
            <w:r>
              <w:rPr>
                <w:rFonts w:ascii="宋体" w:hAnsi="宋体" w:cs="宋体"/>
                <w:color w:val="000000"/>
                <w:kern w:val="0"/>
                <w:sz w:val="18"/>
                <w:szCs w:val="18"/>
              </w:rPr>
              <w:t>201</w:t>
            </w:r>
            <w:r>
              <w:rPr>
                <w:rFonts w:hint="eastAsia" w:ascii="宋体" w:hAnsi="宋体" w:cs="宋体"/>
                <w:color w:val="000000"/>
                <w:kern w:val="0"/>
                <w:sz w:val="18"/>
                <w:szCs w:val="18"/>
                <w:lang w:val="en-US" w:eastAsia="zh-CN"/>
              </w:rPr>
              <w:t>9</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02</w:t>
            </w:r>
            <w:r>
              <w:rPr>
                <w:rFonts w:ascii="宋体" w:hAnsi="宋体" w:cs="宋体"/>
                <w:color w:val="000000"/>
                <w:kern w:val="0"/>
                <w:sz w:val="18"/>
                <w:szCs w:val="18"/>
              </w:rPr>
              <w:t>/</w:t>
            </w:r>
            <w:r>
              <w:rPr>
                <w:rFonts w:hint="eastAsia" w:ascii="宋体" w:hAnsi="宋体" w:cs="宋体"/>
                <w:color w:val="000000"/>
                <w:kern w:val="0"/>
                <w:sz w:val="18"/>
                <w:szCs w:val="18"/>
              </w:rPr>
              <w:t>25</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ascii="宋体" w:cs="宋体"/>
                <w:color w:val="000000"/>
                <w:kern w:val="0"/>
                <w:sz w:val="18"/>
                <w:szCs w:val="18"/>
              </w:rPr>
              <w:t>-</w:t>
            </w:r>
          </w:p>
        </w:tc>
      </w:tr>
      <w:tr>
        <w:tblPrEx>
          <w:tblLayout w:type="fixed"/>
          <w:tblCellMar>
            <w:top w:w="15" w:type="dxa"/>
            <w:left w:w="15" w:type="dxa"/>
            <w:bottom w:w="15" w:type="dxa"/>
            <w:right w:w="15" w:type="dxa"/>
          </w:tblCellMar>
        </w:tblPrEx>
        <w:trPr>
          <w:trHeight w:val="45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可比实例</w:t>
            </w:r>
            <w:r>
              <w:rPr>
                <w:rFonts w:ascii="宋体" w:hAnsi="宋体" w:cs="宋体"/>
                <w:color w:val="000000"/>
                <w:kern w:val="0"/>
                <w:sz w:val="18"/>
                <w:szCs w:val="18"/>
              </w:rPr>
              <w:t>A</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spacing w:val="10"/>
                <w:sz w:val="18"/>
                <w:szCs w:val="18"/>
              </w:rPr>
              <w:t>安江粉馆</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商业</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出租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押一付三，先付后用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ascii="宋体" w:hAnsi="宋体" w:cs="宋体"/>
                <w:color w:val="000000"/>
                <w:kern w:val="0"/>
                <w:sz w:val="18"/>
                <w:szCs w:val="18"/>
              </w:rPr>
              <w:t>201</w:t>
            </w:r>
            <w:r>
              <w:rPr>
                <w:rFonts w:hint="eastAsia" w:ascii="宋体" w:hAnsi="宋体" w:cs="宋体"/>
                <w:color w:val="000000"/>
                <w:kern w:val="0"/>
                <w:sz w:val="18"/>
                <w:szCs w:val="18"/>
                <w:lang w:val="en-US" w:eastAsia="zh-CN"/>
              </w:rPr>
              <w:t>9</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02</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hint="eastAsia" w:ascii="宋体" w:hAnsi="宋体" w:cs="宋体"/>
                <w:color w:val="000000"/>
                <w:kern w:val="0"/>
                <w:sz w:val="18"/>
                <w:szCs w:val="18"/>
                <w:lang w:val="en-US" w:eastAsia="zh-CN"/>
              </w:rPr>
              <w:t>0.60</w:t>
            </w:r>
          </w:p>
        </w:tc>
      </w:tr>
      <w:tr>
        <w:tblPrEx>
          <w:tblLayout w:type="fixed"/>
          <w:tblCellMar>
            <w:top w:w="15" w:type="dxa"/>
            <w:left w:w="15" w:type="dxa"/>
            <w:bottom w:w="15" w:type="dxa"/>
            <w:right w:w="15" w:type="dxa"/>
          </w:tblCellMar>
        </w:tblPrEx>
        <w:trPr>
          <w:trHeight w:val="450"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可比实例</w:t>
            </w:r>
            <w:r>
              <w:rPr>
                <w:rFonts w:ascii="宋体" w:hAnsi="宋体" w:cs="宋体"/>
                <w:color w:val="000000"/>
                <w:kern w:val="0"/>
                <w:sz w:val="18"/>
                <w:szCs w:val="18"/>
              </w:rPr>
              <w:t>B</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风格发艺</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商业</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出租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押一付三，先付后用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ascii="宋体" w:hAnsi="宋体" w:cs="宋体"/>
                <w:color w:val="000000"/>
                <w:kern w:val="0"/>
                <w:sz w:val="18"/>
                <w:szCs w:val="18"/>
              </w:rPr>
              <w:t>201</w:t>
            </w:r>
            <w:r>
              <w:rPr>
                <w:rFonts w:hint="eastAsia" w:ascii="宋体" w:hAnsi="宋体" w:cs="宋体"/>
                <w:color w:val="000000"/>
                <w:kern w:val="0"/>
                <w:sz w:val="18"/>
                <w:szCs w:val="18"/>
                <w:lang w:val="en-US" w:eastAsia="zh-CN"/>
              </w:rPr>
              <w:t>9</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02</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hint="eastAsia" w:ascii="宋体" w:eastAsia="宋体"/>
                <w:color w:val="000000"/>
                <w:sz w:val="18"/>
                <w:szCs w:val="18"/>
                <w:lang w:val="en-US" w:eastAsia="zh-CN"/>
              </w:rPr>
              <w:t>0.61</w:t>
            </w:r>
          </w:p>
        </w:tc>
      </w:tr>
      <w:tr>
        <w:tblPrEx>
          <w:tblLayout w:type="fixed"/>
          <w:tblCellMar>
            <w:top w:w="15" w:type="dxa"/>
            <w:left w:w="15" w:type="dxa"/>
            <w:bottom w:w="15" w:type="dxa"/>
            <w:right w:w="15" w:type="dxa"/>
          </w:tblCellMar>
        </w:tblPrEx>
        <w:trPr>
          <w:trHeight w:val="675" w:hRule="atLeast"/>
        </w:trPr>
        <w:tc>
          <w:tcPr>
            <w:tcW w:w="107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可比实例</w:t>
            </w:r>
            <w:r>
              <w:rPr>
                <w:rFonts w:ascii="宋体" w:hAnsi="宋体" w:cs="宋体"/>
                <w:color w:val="000000"/>
                <w:kern w:val="0"/>
                <w:sz w:val="18"/>
                <w:szCs w:val="18"/>
              </w:rPr>
              <w:t>C</w:t>
            </w:r>
          </w:p>
        </w:tc>
        <w:tc>
          <w:tcPr>
            <w:tcW w:w="121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荣华诊所</w:t>
            </w:r>
          </w:p>
        </w:tc>
        <w:tc>
          <w:tcPr>
            <w:tcW w:w="7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商业</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出租</w:t>
            </w:r>
          </w:p>
        </w:tc>
        <w:tc>
          <w:tcPr>
            <w:tcW w:w="1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color w:val="000000"/>
                <w:sz w:val="18"/>
                <w:szCs w:val="18"/>
              </w:rPr>
            </w:pPr>
            <w:r>
              <w:rPr>
                <w:rFonts w:hint="eastAsia" w:ascii="宋体" w:hAnsi="宋体" w:cs="宋体"/>
                <w:color w:val="000000"/>
                <w:kern w:val="0"/>
                <w:sz w:val="18"/>
                <w:szCs w:val="18"/>
              </w:rPr>
              <w:t>押一付三，先付后用</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ascii="宋体" w:hAnsi="宋体" w:cs="宋体"/>
                <w:color w:val="000000"/>
                <w:kern w:val="0"/>
                <w:sz w:val="18"/>
                <w:szCs w:val="18"/>
              </w:rPr>
              <w:t>20</w:t>
            </w:r>
            <w:r>
              <w:rPr>
                <w:rFonts w:hint="eastAsia" w:ascii="宋体" w:hAnsi="宋体" w:cs="宋体"/>
                <w:color w:val="000000"/>
                <w:kern w:val="0"/>
                <w:sz w:val="18"/>
                <w:szCs w:val="18"/>
                <w:lang w:val="en-US" w:eastAsia="zh-CN"/>
              </w:rPr>
              <w:t>19</w:t>
            </w:r>
            <w:r>
              <w:rPr>
                <w:rFonts w:ascii="宋体" w:hAnsi="宋体" w:cs="宋体"/>
                <w:color w:val="000000"/>
                <w:kern w:val="0"/>
                <w:sz w:val="18"/>
                <w:szCs w:val="18"/>
              </w:rPr>
              <w:t>.</w:t>
            </w:r>
            <w:r>
              <w:rPr>
                <w:rFonts w:hint="eastAsia" w:ascii="宋体" w:hAnsi="宋体" w:cs="宋体"/>
                <w:color w:val="000000"/>
                <w:kern w:val="0"/>
                <w:sz w:val="18"/>
                <w:szCs w:val="18"/>
                <w:lang w:val="en-US" w:eastAsia="zh-CN"/>
              </w:rPr>
              <w:t>02</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宋体" w:eastAsia="宋体"/>
                <w:color w:val="000000"/>
                <w:sz w:val="18"/>
                <w:szCs w:val="18"/>
                <w:lang w:val="en-US" w:eastAsia="zh-CN"/>
              </w:rPr>
            </w:pPr>
            <w:r>
              <w:rPr>
                <w:rFonts w:hint="eastAsia" w:ascii="宋体" w:eastAsia="宋体"/>
                <w:color w:val="000000"/>
                <w:sz w:val="18"/>
                <w:szCs w:val="18"/>
                <w:lang w:val="en-US" w:eastAsia="zh-CN"/>
              </w:rPr>
              <w:t>0.61</w:t>
            </w:r>
          </w:p>
        </w:tc>
      </w:tr>
    </w:tbl>
    <w:p>
      <w:pPr>
        <w:rPr>
          <w:rFonts w:hint="default" w:ascii="宋体"/>
          <w:spacing w:val="10"/>
          <w:sz w:val="24"/>
          <w:szCs w:val="24"/>
          <w:lang w:val="en-US" w:eastAsia="zh-CN"/>
        </w:rPr>
      </w:pPr>
    </w:p>
    <w:p>
      <w:pPr>
        <w:widowControl/>
        <w:numPr>
          <w:ilvl w:val="0"/>
          <w:numId w:val="8"/>
        </w:numPr>
        <w:spacing w:line="420" w:lineRule="exact"/>
        <w:ind w:firstLine="520" w:firstLineChars="200"/>
        <w:rPr>
          <w:rFonts w:ascii="宋体"/>
          <w:spacing w:val="10"/>
          <w:sz w:val="24"/>
          <w:szCs w:val="24"/>
        </w:rPr>
      </w:pPr>
      <w:r>
        <w:rPr>
          <w:rFonts w:hint="eastAsia" w:ascii="宋体" w:hAnsi="宋体" w:cs="宋体"/>
          <w:spacing w:val="10"/>
          <w:sz w:val="24"/>
          <w:szCs w:val="24"/>
        </w:rPr>
        <w:t>房地产状况调整</w:t>
      </w:r>
    </w:p>
    <w:p>
      <w:pPr>
        <w:widowControl/>
        <w:numPr>
          <w:ilvl w:val="0"/>
          <w:numId w:val="0"/>
        </w:numPr>
        <w:spacing w:line="420" w:lineRule="exact"/>
        <w:rPr>
          <w:rFonts w:hint="default" w:ascii="宋体" w:eastAsia="宋体"/>
          <w:spacing w:val="10"/>
          <w:sz w:val="24"/>
          <w:szCs w:val="24"/>
          <w:lang w:val="en-US" w:eastAsia="zh-CN"/>
        </w:rPr>
      </w:pPr>
      <w:r>
        <w:rPr>
          <w:rFonts w:hint="eastAsia" w:ascii="宋体" w:hAnsi="宋体" w:cs="宋体"/>
          <w:spacing w:val="10"/>
          <w:sz w:val="24"/>
          <w:szCs w:val="24"/>
          <w:lang w:val="en-US" w:eastAsia="zh-CN"/>
        </w:rPr>
        <w:t>01幢101号</w:t>
      </w:r>
    </w:p>
    <w:tbl>
      <w:tblPr>
        <w:tblStyle w:val="40"/>
        <w:tblW w:w="8440" w:type="dxa"/>
        <w:tblInd w:w="0" w:type="dxa"/>
        <w:tblLayout w:type="fixed"/>
        <w:tblCellMar>
          <w:top w:w="0" w:type="dxa"/>
          <w:left w:w="0" w:type="dxa"/>
          <w:bottom w:w="0" w:type="dxa"/>
          <w:right w:w="0" w:type="dxa"/>
        </w:tblCellMar>
      </w:tblPr>
      <w:tblGrid>
        <w:gridCol w:w="800"/>
        <w:gridCol w:w="628"/>
        <w:gridCol w:w="1380"/>
        <w:gridCol w:w="1412"/>
        <w:gridCol w:w="1428"/>
        <w:gridCol w:w="1459"/>
        <w:gridCol w:w="1333"/>
      </w:tblGrid>
      <w:tr>
        <w:tblPrEx>
          <w:tblLayout w:type="fixed"/>
          <w:tblCellMar>
            <w:top w:w="0" w:type="dxa"/>
            <w:left w:w="0" w:type="dxa"/>
            <w:bottom w:w="0" w:type="dxa"/>
            <w:right w:w="0" w:type="dxa"/>
          </w:tblCellMar>
        </w:tblPrEx>
        <w:trPr>
          <w:trHeight w:val="480" w:hRule="atLeast"/>
        </w:trPr>
        <w:tc>
          <w:tcPr>
            <w:tcW w:w="280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贝贝婴儿游泳馆</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美芝然</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大台北珍珠奶茶</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估价对象</w:t>
            </w:r>
          </w:p>
        </w:tc>
      </w:tr>
      <w:tr>
        <w:tblPrEx>
          <w:tblLayout w:type="fixed"/>
          <w:tblCellMar>
            <w:top w:w="0" w:type="dxa"/>
            <w:left w:w="0" w:type="dxa"/>
            <w:bottom w:w="0" w:type="dxa"/>
            <w:right w:w="0" w:type="dxa"/>
          </w:tblCellMar>
        </w:tblPrEx>
        <w:trPr>
          <w:trHeight w:val="285" w:hRule="atLeast"/>
        </w:trPr>
        <w:tc>
          <w:tcPr>
            <w:tcW w:w="2808"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交易情况修正</w:t>
            </w:r>
          </w:p>
        </w:tc>
        <w:tc>
          <w:tcPr>
            <w:tcW w:w="141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42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45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33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正常</w:t>
            </w:r>
          </w:p>
        </w:tc>
      </w:tr>
      <w:tr>
        <w:tblPrEx>
          <w:tblLayout w:type="fixed"/>
          <w:tblCellMar>
            <w:top w:w="0" w:type="dxa"/>
            <w:left w:w="0" w:type="dxa"/>
            <w:bottom w:w="0" w:type="dxa"/>
            <w:right w:w="0" w:type="dxa"/>
          </w:tblCellMar>
        </w:tblPrEx>
        <w:trPr>
          <w:trHeight w:val="285" w:hRule="atLeast"/>
        </w:trPr>
        <w:tc>
          <w:tcPr>
            <w:tcW w:w="280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交易日期调整</w:t>
            </w:r>
          </w:p>
        </w:tc>
        <w:tc>
          <w:tcPr>
            <w:tcW w:w="1412"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428"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459"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333"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r>
      <w:tr>
        <w:tblPrEx>
          <w:tblLayout w:type="fixed"/>
          <w:tblCellMar>
            <w:top w:w="0" w:type="dxa"/>
            <w:left w:w="0" w:type="dxa"/>
            <w:bottom w:w="0" w:type="dxa"/>
            <w:right w:w="0" w:type="dxa"/>
          </w:tblCellMar>
        </w:tblPrEx>
        <w:trPr>
          <w:trHeight w:val="480" w:hRule="atLeast"/>
        </w:trPr>
        <w:tc>
          <w:tcPr>
            <w:tcW w:w="8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房地产状况调整</w:t>
            </w:r>
          </w:p>
        </w:tc>
        <w:tc>
          <w:tcPr>
            <w:tcW w:w="6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区位状况</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繁华度（市场内位置优劣）</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交通条件</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功能配套服务</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基础设施</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楼层</w:t>
            </w:r>
          </w:p>
        </w:tc>
        <w:tc>
          <w:tcPr>
            <w:tcW w:w="141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第一层</w:t>
            </w:r>
          </w:p>
        </w:tc>
        <w:tc>
          <w:tcPr>
            <w:tcW w:w="142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第一层</w:t>
            </w:r>
          </w:p>
        </w:tc>
        <w:tc>
          <w:tcPr>
            <w:tcW w:w="145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第一层</w:t>
            </w:r>
          </w:p>
        </w:tc>
        <w:tc>
          <w:tcPr>
            <w:tcW w:w="133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第一层</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权益状况</w:t>
            </w: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土地类型</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权属状况</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实物状况</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临街状况</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主干道</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主干道</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主干道</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主干道</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内部格局</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面积情况</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接近</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接近</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接近</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接近</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建筑年代</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2008</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2008</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2008</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2008</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结构</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混合结构</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混合结构</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混合结构</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混合结构</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装修</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简装</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简装</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简装</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简装</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配套设施设备</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层高</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4米</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4米</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4米</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4米</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物业管理</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其他因素</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Layout w:type="fixed"/>
          <w:tblCellMar>
            <w:top w:w="0" w:type="dxa"/>
            <w:left w:w="0" w:type="dxa"/>
            <w:bottom w:w="0" w:type="dxa"/>
            <w:right w:w="0" w:type="dxa"/>
          </w:tblCellMar>
        </w:tblPrEx>
        <w:trPr>
          <w:trHeight w:val="285" w:hRule="atLeast"/>
        </w:trPr>
        <w:tc>
          <w:tcPr>
            <w:tcW w:w="280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单价(元/M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1.27 </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1.20 </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1.20 </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bl>
    <w:p>
      <w:pPr>
        <w:widowControl/>
        <w:numPr>
          <w:ilvl w:val="0"/>
          <w:numId w:val="0"/>
        </w:numPr>
        <w:spacing w:line="360" w:lineRule="auto"/>
        <w:rPr>
          <w:rFonts w:hint="eastAsia" w:ascii="宋体" w:hAnsi="宋体" w:cs="宋体"/>
          <w:spacing w:val="10"/>
          <w:sz w:val="24"/>
          <w:szCs w:val="24"/>
          <w:lang w:val="en-US" w:eastAsia="zh-CN"/>
        </w:rPr>
      </w:pPr>
      <w:r>
        <w:rPr>
          <w:rFonts w:hint="eastAsia" w:ascii="宋体" w:hAnsi="宋体" w:cs="宋体"/>
          <w:spacing w:val="10"/>
          <w:sz w:val="24"/>
          <w:szCs w:val="24"/>
          <w:lang w:val="en-US" w:eastAsia="zh-CN"/>
        </w:rPr>
        <w:t>02幢104、105号</w:t>
      </w:r>
    </w:p>
    <w:tbl>
      <w:tblPr>
        <w:tblStyle w:val="40"/>
        <w:tblW w:w="8440" w:type="dxa"/>
        <w:tblInd w:w="0" w:type="dxa"/>
        <w:tblLayout w:type="fixed"/>
        <w:tblCellMar>
          <w:top w:w="0" w:type="dxa"/>
          <w:left w:w="0" w:type="dxa"/>
          <w:bottom w:w="0" w:type="dxa"/>
          <w:right w:w="0" w:type="dxa"/>
        </w:tblCellMar>
      </w:tblPr>
      <w:tblGrid>
        <w:gridCol w:w="800"/>
        <w:gridCol w:w="628"/>
        <w:gridCol w:w="1380"/>
        <w:gridCol w:w="1412"/>
        <w:gridCol w:w="1428"/>
        <w:gridCol w:w="1459"/>
        <w:gridCol w:w="1333"/>
      </w:tblGrid>
      <w:tr>
        <w:tblPrEx>
          <w:tblLayout w:type="fixed"/>
          <w:tblCellMar>
            <w:top w:w="0" w:type="dxa"/>
            <w:left w:w="0" w:type="dxa"/>
            <w:bottom w:w="0" w:type="dxa"/>
            <w:right w:w="0" w:type="dxa"/>
          </w:tblCellMar>
        </w:tblPrEx>
        <w:trPr>
          <w:trHeight w:val="285" w:hRule="atLeast"/>
        </w:trPr>
        <w:tc>
          <w:tcPr>
            <w:tcW w:w="280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安江粉馆</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风格发艺</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荣华诊所</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估价对象</w:t>
            </w:r>
          </w:p>
        </w:tc>
      </w:tr>
      <w:tr>
        <w:tblPrEx>
          <w:tblLayout w:type="fixed"/>
          <w:tblCellMar>
            <w:top w:w="0" w:type="dxa"/>
            <w:left w:w="0" w:type="dxa"/>
            <w:bottom w:w="0" w:type="dxa"/>
            <w:right w:w="0" w:type="dxa"/>
          </w:tblCellMar>
        </w:tblPrEx>
        <w:trPr>
          <w:trHeight w:val="285" w:hRule="atLeast"/>
        </w:trPr>
        <w:tc>
          <w:tcPr>
            <w:tcW w:w="2808" w:type="dxa"/>
            <w:gridSpan w:val="3"/>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交易情况修正</w:t>
            </w:r>
          </w:p>
        </w:tc>
        <w:tc>
          <w:tcPr>
            <w:tcW w:w="141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42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45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33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正常</w:t>
            </w:r>
          </w:p>
        </w:tc>
      </w:tr>
      <w:tr>
        <w:tblPrEx>
          <w:tblLayout w:type="fixed"/>
          <w:tblCellMar>
            <w:top w:w="0" w:type="dxa"/>
            <w:left w:w="0" w:type="dxa"/>
            <w:bottom w:w="0" w:type="dxa"/>
            <w:right w:w="0" w:type="dxa"/>
          </w:tblCellMar>
        </w:tblPrEx>
        <w:trPr>
          <w:trHeight w:val="285" w:hRule="atLeast"/>
        </w:trPr>
        <w:tc>
          <w:tcPr>
            <w:tcW w:w="280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交易日期调整</w:t>
            </w:r>
          </w:p>
        </w:tc>
        <w:tc>
          <w:tcPr>
            <w:tcW w:w="1412"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428"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459"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333"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r>
      <w:tr>
        <w:tblPrEx>
          <w:tblLayout w:type="fixed"/>
          <w:tblCellMar>
            <w:top w:w="0" w:type="dxa"/>
            <w:left w:w="0" w:type="dxa"/>
            <w:bottom w:w="0" w:type="dxa"/>
            <w:right w:w="0" w:type="dxa"/>
          </w:tblCellMar>
        </w:tblPrEx>
        <w:trPr>
          <w:trHeight w:val="480" w:hRule="atLeast"/>
        </w:trPr>
        <w:tc>
          <w:tcPr>
            <w:tcW w:w="80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房地产状况调整</w:t>
            </w:r>
          </w:p>
        </w:tc>
        <w:tc>
          <w:tcPr>
            <w:tcW w:w="6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区位状况</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繁华度（市场内位置优劣）</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交通条件</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功能配套服务</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基础设施</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楼层</w:t>
            </w:r>
          </w:p>
        </w:tc>
        <w:tc>
          <w:tcPr>
            <w:tcW w:w="141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第一层</w:t>
            </w:r>
          </w:p>
        </w:tc>
        <w:tc>
          <w:tcPr>
            <w:tcW w:w="1428"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第一层</w:t>
            </w:r>
          </w:p>
        </w:tc>
        <w:tc>
          <w:tcPr>
            <w:tcW w:w="145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第一层</w:t>
            </w:r>
          </w:p>
        </w:tc>
        <w:tc>
          <w:tcPr>
            <w:tcW w:w="133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第一层</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权益状况</w:t>
            </w: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土地类型</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权属状况</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实物状况</w:t>
            </w: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临街状况</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主干道</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主干道</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主干道</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主干道</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内部格局</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相同</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面积情况</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接近</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接近</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接近</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接近</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建筑年代</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2008</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2008</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2008</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2008</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结构</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混合结构</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混合结构</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混合结构</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混合结构</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装修</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简装</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简装</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简装</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简装</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配套设施设备</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层高</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4米</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4米</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4米</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4米</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物业管理</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好</w:t>
            </w:r>
          </w:p>
        </w:tc>
      </w:tr>
      <w:tr>
        <w:tblPrEx>
          <w:tblLayout w:type="fixed"/>
          <w:tblCellMar>
            <w:top w:w="0" w:type="dxa"/>
            <w:left w:w="0" w:type="dxa"/>
            <w:bottom w:w="0" w:type="dxa"/>
            <w:right w:w="0" w:type="dxa"/>
          </w:tblCellMar>
        </w:tblPrEx>
        <w:trPr>
          <w:trHeight w:val="285" w:hRule="atLeast"/>
        </w:trPr>
        <w:tc>
          <w:tcPr>
            <w:tcW w:w="80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其他因素</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Layout w:type="fixed"/>
          <w:tblCellMar>
            <w:top w:w="0" w:type="dxa"/>
            <w:left w:w="0" w:type="dxa"/>
            <w:bottom w:w="0" w:type="dxa"/>
            <w:right w:w="0" w:type="dxa"/>
          </w:tblCellMar>
        </w:tblPrEx>
        <w:trPr>
          <w:trHeight w:val="285" w:hRule="atLeast"/>
        </w:trPr>
        <w:tc>
          <w:tcPr>
            <w:tcW w:w="280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单价(元/M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14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0.60 </w:t>
            </w:r>
          </w:p>
        </w:tc>
        <w:tc>
          <w:tcPr>
            <w:tcW w:w="14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0.61 </w:t>
            </w:r>
          </w:p>
        </w:tc>
        <w:tc>
          <w:tcPr>
            <w:tcW w:w="14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0.61 </w:t>
            </w:r>
          </w:p>
        </w:tc>
        <w:tc>
          <w:tcPr>
            <w:tcW w:w="13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bl>
    <w:p>
      <w:pPr>
        <w:widowControl/>
        <w:numPr>
          <w:ilvl w:val="0"/>
          <w:numId w:val="8"/>
        </w:numPr>
        <w:spacing w:line="360" w:lineRule="auto"/>
        <w:ind w:left="0" w:leftChars="0" w:firstLine="520" w:firstLineChars="200"/>
        <w:rPr>
          <w:rFonts w:hint="eastAsia" w:ascii="宋体" w:hAnsi="宋体" w:cs="宋体"/>
          <w:spacing w:val="10"/>
          <w:sz w:val="24"/>
          <w:szCs w:val="24"/>
        </w:rPr>
      </w:pPr>
      <w:r>
        <w:rPr>
          <w:rFonts w:hint="eastAsia" w:ascii="宋体" w:hAnsi="宋体" w:cs="宋体"/>
          <w:spacing w:val="10"/>
          <w:sz w:val="24"/>
          <w:szCs w:val="24"/>
        </w:rPr>
        <w:t>修正过程：</w:t>
      </w:r>
    </w:p>
    <w:p>
      <w:pPr>
        <w:widowControl/>
        <w:numPr>
          <w:ilvl w:val="0"/>
          <w:numId w:val="0"/>
        </w:numPr>
        <w:spacing w:line="360" w:lineRule="auto"/>
        <w:rPr>
          <w:rFonts w:hint="default" w:ascii="宋体" w:hAnsi="宋体" w:eastAsia="宋体" w:cs="宋体"/>
          <w:spacing w:val="10"/>
          <w:sz w:val="24"/>
          <w:szCs w:val="24"/>
          <w:lang w:val="en-US" w:eastAsia="zh-CN"/>
        </w:rPr>
      </w:pPr>
      <w:r>
        <w:rPr>
          <w:rFonts w:hint="eastAsia" w:ascii="宋体" w:hAnsi="宋体" w:cs="宋体"/>
          <w:spacing w:val="10"/>
          <w:sz w:val="24"/>
          <w:szCs w:val="24"/>
          <w:lang w:val="en-US" w:eastAsia="zh-CN"/>
        </w:rPr>
        <w:t>01幢101号</w:t>
      </w:r>
    </w:p>
    <w:tbl>
      <w:tblPr>
        <w:tblStyle w:val="40"/>
        <w:tblW w:w="8440" w:type="dxa"/>
        <w:tblInd w:w="0" w:type="dxa"/>
        <w:tblLayout w:type="fixed"/>
        <w:tblCellMar>
          <w:top w:w="0" w:type="dxa"/>
          <w:left w:w="0" w:type="dxa"/>
          <w:bottom w:w="0" w:type="dxa"/>
          <w:right w:w="0" w:type="dxa"/>
        </w:tblCellMar>
      </w:tblPr>
      <w:tblGrid>
        <w:gridCol w:w="950"/>
        <w:gridCol w:w="745"/>
        <w:gridCol w:w="1640"/>
        <w:gridCol w:w="1677"/>
        <w:gridCol w:w="1695"/>
        <w:gridCol w:w="1733"/>
      </w:tblGrid>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可比实例A</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可比实例B</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可比实例C</w:t>
            </w:r>
          </w:p>
        </w:tc>
      </w:tr>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单价</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1.27 </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1.20 </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1.20 </w:t>
            </w:r>
          </w:p>
        </w:tc>
      </w:tr>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交易情况修正</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交易日期调整</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房地产状况调整</w:t>
            </w:r>
          </w:p>
        </w:tc>
        <w:tc>
          <w:tcPr>
            <w:tcW w:w="7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区位状况</w:t>
            </w: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繁华度</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交通条件</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功能配套服务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基础设施</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楼层</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权益状况</w:t>
            </w:r>
          </w:p>
        </w:tc>
        <w:tc>
          <w:tcPr>
            <w:tcW w:w="16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土地类型</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权属状况</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实物状况</w:t>
            </w: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临街状况</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内部格局</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面积</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建筑年代</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结构</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装修</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配套设施设备</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层高</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物业管理</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停车场</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3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比准单价(元/㎡/天)</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1.28 </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1.21 </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1.21 </w:t>
            </w:r>
          </w:p>
        </w:tc>
      </w:tr>
    </w:tbl>
    <w:p>
      <w:pPr>
        <w:widowControl/>
        <w:spacing w:line="360" w:lineRule="auto"/>
        <w:rPr>
          <w:rFonts w:hint="eastAsia" w:ascii="宋体" w:hAnsi="宋体" w:cs="宋体"/>
          <w:spacing w:val="10"/>
          <w:sz w:val="24"/>
          <w:szCs w:val="24"/>
          <w:lang w:val="en-US" w:eastAsia="zh-CN"/>
        </w:rPr>
      </w:pPr>
      <w:r>
        <w:rPr>
          <w:rFonts w:hint="eastAsia" w:ascii="宋体" w:hAnsi="宋体" w:cs="宋体"/>
          <w:spacing w:val="10"/>
          <w:sz w:val="24"/>
          <w:szCs w:val="24"/>
          <w:lang w:val="en-US" w:eastAsia="zh-CN"/>
        </w:rPr>
        <w:t>02幢104、105号</w:t>
      </w:r>
    </w:p>
    <w:tbl>
      <w:tblPr>
        <w:tblStyle w:val="40"/>
        <w:tblW w:w="8440" w:type="dxa"/>
        <w:tblInd w:w="0" w:type="dxa"/>
        <w:tblLayout w:type="fixed"/>
        <w:tblCellMar>
          <w:top w:w="0" w:type="dxa"/>
          <w:left w:w="0" w:type="dxa"/>
          <w:bottom w:w="0" w:type="dxa"/>
          <w:right w:w="0" w:type="dxa"/>
        </w:tblCellMar>
      </w:tblPr>
      <w:tblGrid>
        <w:gridCol w:w="950"/>
        <w:gridCol w:w="745"/>
        <w:gridCol w:w="1640"/>
        <w:gridCol w:w="1677"/>
        <w:gridCol w:w="1695"/>
        <w:gridCol w:w="1733"/>
      </w:tblGrid>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可比实例A</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可比实例B</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可比实例C</w:t>
            </w:r>
          </w:p>
        </w:tc>
      </w:tr>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单价</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0.60 </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0.61 </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0.61 </w:t>
            </w:r>
          </w:p>
        </w:tc>
      </w:tr>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交易情况修正</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交易日期调整</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房地产状况调整</w:t>
            </w:r>
          </w:p>
        </w:tc>
        <w:tc>
          <w:tcPr>
            <w:tcW w:w="7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区位状况</w:t>
            </w: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繁华度</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交通条件</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功能配套服务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基础设施</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楼层</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权益状况</w:t>
            </w:r>
          </w:p>
        </w:tc>
        <w:tc>
          <w:tcPr>
            <w:tcW w:w="16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土地类型</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权属状况</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实物状况</w:t>
            </w: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临街状况</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内部格局</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面积</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建筑年代</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结构</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装修</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配套设施设备</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层高</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物业管理</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停车场</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45"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w:t>
            </w:r>
          </w:p>
        </w:tc>
      </w:tr>
      <w:tr>
        <w:tblPrEx>
          <w:tblLayout w:type="fixed"/>
          <w:tblCellMar>
            <w:top w:w="0" w:type="dxa"/>
            <w:left w:w="0" w:type="dxa"/>
            <w:bottom w:w="0" w:type="dxa"/>
            <w:right w:w="0" w:type="dxa"/>
          </w:tblCellMar>
        </w:tblPrEx>
        <w:trPr>
          <w:trHeight w:val="285" w:hRule="atLeast"/>
        </w:trPr>
        <w:tc>
          <w:tcPr>
            <w:tcW w:w="95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385"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r>
      <w:tr>
        <w:tblPrEx>
          <w:tblLayout w:type="fixed"/>
          <w:tblCellMar>
            <w:top w:w="0" w:type="dxa"/>
            <w:left w:w="0" w:type="dxa"/>
            <w:bottom w:w="0" w:type="dxa"/>
            <w:right w:w="0" w:type="dxa"/>
          </w:tblCellMar>
        </w:tblPrEx>
        <w:trPr>
          <w:trHeight w:val="285" w:hRule="atLeast"/>
        </w:trPr>
        <w:tc>
          <w:tcPr>
            <w:tcW w:w="333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比准单价(元/㎡/天)</w:t>
            </w:r>
          </w:p>
        </w:tc>
        <w:tc>
          <w:tcPr>
            <w:tcW w:w="167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0.61 </w:t>
            </w:r>
          </w:p>
        </w:tc>
        <w:tc>
          <w:tcPr>
            <w:tcW w:w="16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0.62 </w:t>
            </w:r>
          </w:p>
        </w:tc>
        <w:tc>
          <w:tcPr>
            <w:tcW w:w="173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0.62 </w:t>
            </w:r>
          </w:p>
        </w:tc>
      </w:tr>
    </w:tbl>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4</w:t>
      </w:r>
      <w:r>
        <w:rPr>
          <w:rFonts w:hint="eastAsia" w:ascii="宋体" w:hAnsi="宋体" w:cs="宋体"/>
          <w:spacing w:val="10"/>
          <w:sz w:val="24"/>
          <w:szCs w:val="24"/>
        </w:rPr>
        <w:t>）计算结果</w:t>
      </w:r>
    </w:p>
    <w:p>
      <w:pPr>
        <w:widowControl/>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比准租金</w:t>
      </w:r>
      <w:r>
        <w:rPr>
          <w:rFonts w:hint="eastAsia" w:ascii="宋体" w:hAnsi="宋体" w:cs="宋体"/>
          <w:kern w:val="0"/>
          <w:sz w:val="24"/>
          <w:szCs w:val="24"/>
          <w:lang w:eastAsia="zh-CN"/>
        </w:rPr>
        <w:t>（</w:t>
      </w:r>
      <w:r>
        <w:rPr>
          <w:rFonts w:hint="eastAsia" w:ascii="宋体" w:hAnsi="宋体" w:cs="宋体"/>
          <w:kern w:val="0"/>
          <w:sz w:val="24"/>
          <w:szCs w:val="24"/>
          <w:lang w:val="en-US" w:eastAsia="zh-CN"/>
        </w:rPr>
        <w:t>01幢101号）</w:t>
      </w:r>
      <w:r>
        <w:rPr>
          <w:rFonts w:hint="eastAsia" w:ascii="宋体" w:hAnsi="宋体" w:cs="宋体"/>
          <w:kern w:val="0"/>
          <w:sz w:val="24"/>
          <w:szCs w:val="24"/>
        </w:rPr>
        <w:t>＝（</w:t>
      </w:r>
      <w:r>
        <w:rPr>
          <w:rFonts w:hint="eastAsia" w:ascii="宋体" w:hAnsi="宋体" w:cs="宋体"/>
          <w:kern w:val="0"/>
          <w:sz w:val="24"/>
          <w:szCs w:val="24"/>
          <w:lang w:val="en-US" w:eastAsia="zh-CN"/>
        </w:rPr>
        <w:t>1.28</w:t>
      </w:r>
      <w:r>
        <w:rPr>
          <w:rFonts w:ascii="宋体" w:hAnsi="宋体" w:cs="宋体"/>
          <w:sz w:val="24"/>
          <w:szCs w:val="24"/>
        </w:rPr>
        <w:t>+</w:t>
      </w:r>
      <w:r>
        <w:rPr>
          <w:rFonts w:hint="eastAsia" w:ascii="宋体" w:hAnsi="宋体" w:cs="宋体"/>
          <w:sz w:val="24"/>
          <w:szCs w:val="24"/>
          <w:lang w:val="en-US" w:eastAsia="zh-CN"/>
        </w:rPr>
        <w:t>1.21</w:t>
      </w:r>
      <w:r>
        <w:rPr>
          <w:rFonts w:ascii="宋体" w:hAnsi="宋体" w:cs="宋体"/>
          <w:sz w:val="24"/>
          <w:szCs w:val="24"/>
        </w:rPr>
        <w:t>+</w:t>
      </w:r>
      <w:r>
        <w:rPr>
          <w:rFonts w:hint="eastAsia" w:ascii="宋体" w:hAnsi="宋体" w:cs="宋体"/>
          <w:sz w:val="24"/>
          <w:szCs w:val="24"/>
          <w:lang w:val="en-US" w:eastAsia="zh-CN"/>
        </w:rPr>
        <w:t>1.21</w:t>
      </w: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w:t>
      </w:r>
      <w:r>
        <w:rPr>
          <w:rFonts w:hint="eastAsia" w:ascii="宋体" w:hAnsi="宋体" w:cs="宋体"/>
          <w:kern w:val="0"/>
          <w:sz w:val="24"/>
          <w:szCs w:val="24"/>
          <w:lang w:val="en-US" w:eastAsia="zh-CN"/>
        </w:rPr>
        <w:t>1.23</w:t>
      </w:r>
      <w:r>
        <w:rPr>
          <w:rFonts w:hint="eastAsia" w:ascii="宋体" w:hAnsi="宋体" w:cs="宋体"/>
          <w:kern w:val="0"/>
          <w:sz w:val="24"/>
          <w:szCs w:val="24"/>
        </w:rPr>
        <w:t>（元</w:t>
      </w:r>
      <w:r>
        <w:rPr>
          <w:rFonts w:ascii="宋体" w:hAnsi="宋体" w:cs="宋体"/>
          <w:kern w:val="0"/>
          <w:sz w:val="24"/>
          <w:szCs w:val="24"/>
        </w:rPr>
        <w:t>/</w:t>
      </w:r>
      <w:r>
        <w:rPr>
          <w:rFonts w:hint="eastAsia" w:ascii="宋体" w:hAnsi="宋体" w:cs="宋体"/>
          <w:kern w:val="0"/>
          <w:sz w:val="24"/>
          <w:szCs w:val="24"/>
        </w:rPr>
        <w:t>㎡·天）</w:t>
      </w:r>
    </w:p>
    <w:p>
      <w:pPr>
        <w:widowControl/>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cs="宋体"/>
          <w:kern w:val="0"/>
          <w:sz w:val="24"/>
          <w:szCs w:val="24"/>
        </w:rPr>
        <w:t>比准租金</w:t>
      </w:r>
      <w:r>
        <w:rPr>
          <w:rFonts w:hint="eastAsia" w:ascii="宋体" w:hAnsi="宋体" w:cs="宋体"/>
          <w:kern w:val="0"/>
          <w:sz w:val="24"/>
          <w:szCs w:val="24"/>
          <w:lang w:eastAsia="zh-CN"/>
        </w:rPr>
        <w:t>（</w:t>
      </w:r>
      <w:r>
        <w:rPr>
          <w:rFonts w:hint="eastAsia" w:ascii="宋体" w:hAnsi="宋体" w:cs="宋体"/>
          <w:kern w:val="0"/>
          <w:sz w:val="24"/>
          <w:szCs w:val="24"/>
          <w:lang w:val="en-US" w:eastAsia="zh-CN"/>
        </w:rPr>
        <w:t>02幢104、105号）</w:t>
      </w:r>
      <w:r>
        <w:rPr>
          <w:rFonts w:hint="eastAsia" w:ascii="宋体" w:hAnsi="宋体" w:cs="宋体"/>
          <w:kern w:val="0"/>
          <w:sz w:val="24"/>
          <w:szCs w:val="24"/>
        </w:rPr>
        <w:t>＝</w:t>
      </w:r>
      <w:r>
        <w:rPr>
          <w:rFonts w:hint="eastAsia" w:ascii="宋体" w:hAnsi="宋体" w:cs="宋体"/>
          <w:kern w:val="0"/>
          <w:sz w:val="24"/>
          <w:szCs w:val="24"/>
          <w:lang w:eastAsia="zh-CN"/>
        </w:rPr>
        <w:t>（</w:t>
      </w:r>
      <w:r>
        <w:rPr>
          <w:rFonts w:hint="eastAsia" w:ascii="宋体" w:hAnsi="宋体" w:cs="宋体"/>
          <w:kern w:val="0"/>
          <w:sz w:val="24"/>
          <w:szCs w:val="24"/>
          <w:lang w:val="en-US" w:eastAsia="zh-CN"/>
        </w:rPr>
        <w:t>0.61+0.62+0.62）/3</w:t>
      </w:r>
      <w:r>
        <w:rPr>
          <w:rFonts w:hint="eastAsia" w:ascii="宋体" w:hAnsi="宋体" w:cs="宋体"/>
          <w:kern w:val="0"/>
          <w:sz w:val="24"/>
          <w:szCs w:val="24"/>
        </w:rPr>
        <w:t>≈</w:t>
      </w:r>
      <w:r>
        <w:rPr>
          <w:rFonts w:hint="eastAsia" w:ascii="宋体" w:hAnsi="宋体" w:cs="宋体"/>
          <w:kern w:val="0"/>
          <w:sz w:val="24"/>
          <w:szCs w:val="24"/>
          <w:lang w:val="en-US" w:eastAsia="zh-CN"/>
        </w:rPr>
        <w:t>0.62（元</w:t>
      </w:r>
      <w:r>
        <w:rPr>
          <w:rFonts w:ascii="宋体" w:hAnsi="宋体" w:cs="宋体"/>
          <w:kern w:val="0"/>
          <w:sz w:val="24"/>
          <w:szCs w:val="24"/>
        </w:rPr>
        <w:t>/</w:t>
      </w:r>
      <w:r>
        <w:rPr>
          <w:rFonts w:hint="eastAsia" w:ascii="宋体" w:hAnsi="宋体" w:cs="宋体"/>
          <w:kern w:val="0"/>
          <w:sz w:val="24"/>
          <w:szCs w:val="24"/>
        </w:rPr>
        <w:t>㎡·天）</w:t>
      </w:r>
    </w:p>
    <w:p>
      <w:pPr>
        <w:widowControl/>
        <w:spacing w:line="400" w:lineRule="exact"/>
        <w:ind w:firstLine="520" w:firstLineChars="200"/>
        <w:rPr>
          <w:rFonts w:ascii="宋体"/>
          <w:spacing w:val="10"/>
          <w:sz w:val="24"/>
          <w:szCs w:val="24"/>
        </w:rPr>
      </w:pPr>
      <w:r>
        <w:rPr>
          <w:rFonts w:hint="eastAsia" w:ascii="宋体" w:hAnsi="宋体" w:cs="宋体"/>
          <w:spacing w:val="10"/>
          <w:sz w:val="24"/>
          <w:szCs w:val="24"/>
        </w:rPr>
        <w:t>根据附近市场同类物业出租情况的调查资料可知（见上表），类似房地产的客观日租金在</w:t>
      </w:r>
      <w:r>
        <w:rPr>
          <w:rFonts w:hint="eastAsia" w:ascii="宋体" w:hAnsi="宋体" w:cs="宋体"/>
          <w:spacing w:val="10"/>
          <w:sz w:val="24"/>
          <w:szCs w:val="24"/>
          <w:lang w:val="en-US" w:eastAsia="zh-CN"/>
        </w:rPr>
        <w:t>1.23</w:t>
      </w:r>
      <w:r>
        <w:rPr>
          <w:rFonts w:ascii="宋体" w:hAnsi="宋体" w:cs="宋体"/>
          <w:spacing w:val="10"/>
          <w:sz w:val="24"/>
          <w:szCs w:val="24"/>
        </w:rPr>
        <w:t>/</w:t>
      </w:r>
      <w:r>
        <w:rPr>
          <w:rFonts w:hint="eastAsia" w:ascii="宋体" w:hAnsi="宋体" w:cs="宋体"/>
          <w:spacing w:val="10"/>
          <w:sz w:val="24"/>
          <w:szCs w:val="24"/>
        </w:rPr>
        <w:t>㎡</w:t>
      </w:r>
      <w:r>
        <w:rPr>
          <w:rFonts w:hint="eastAsia" w:ascii="宋体" w:hAnsi="宋体" w:cs="宋体"/>
          <w:kern w:val="0"/>
          <w:sz w:val="24"/>
          <w:szCs w:val="24"/>
        </w:rPr>
        <w:t>·</w:t>
      </w:r>
      <w:r>
        <w:rPr>
          <w:rFonts w:hint="eastAsia" w:ascii="宋体" w:hAnsi="宋体" w:cs="宋体"/>
          <w:kern w:val="0"/>
        </w:rPr>
        <w:t>天</w:t>
      </w:r>
      <w:r>
        <w:rPr>
          <w:rFonts w:hint="eastAsia" w:ascii="宋体" w:hAnsi="宋体" w:cs="宋体"/>
          <w:spacing w:val="10"/>
          <w:sz w:val="24"/>
          <w:szCs w:val="24"/>
          <w:lang w:val="en-US" w:eastAsia="zh-CN"/>
        </w:rPr>
        <w:t>（01幢101号）、0.62</w:t>
      </w:r>
      <w:r>
        <w:rPr>
          <w:rFonts w:ascii="宋体" w:hAnsi="宋体" w:cs="宋体"/>
          <w:spacing w:val="10"/>
          <w:sz w:val="24"/>
          <w:szCs w:val="24"/>
        </w:rPr>
        <w:t>/</w:t>
      </w:r>
      <w:r>
        <w:rPr>
          <w:rFonts w:hint="eastAsia" w:ascii="宋体" w:hAnsi="宋体" w:cs="宋体"/>
          <w:spacing w:val="10"/>
          <w:sz w:val="24"/>
          <w:szCs w:val="24"/>
        </w:rPr>
        <w:t>㎡</w:t>
      </w:r>
      <w:r>
        <w:rPr>
          <w:rFonts w:hint="eastAsia" w:ascii="宋体" w:hAnsi="宋体" w:cs="宋体"/>
          <w:kern w:val="0"/>
          <w:sz w:val="24"/>
          <w:szCs w:val="24"/>
        </w:rPr>
        <w:t>·</w:t>
      </w:r>
      <w:r>
        <w:rPr>
          <w:rFonts w:hint="eastAsia" w:ascii="宋体" w:hAnsi="宋体" w:cs="宋体"/>
          <w:kern w:val="0"/>
        </w:rPr>
        <w:t>天</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02幢104、105号）</w:t>
      </w:r>
      <w:r>
        <w:rPr>
          <w:rFonts w:hint="eastAsia" w:ascii="宋体" w:hAnsi="宋体" w:cs="宋体"/>
          <w:spacing w:val="10"/>
          <w:sz w:val="24"/>
          <w:szCs w:val="24"/>
        </w:rPr>
        <w:t>之间，客观空置率在</w:t>
      </w:r>
      <w:r>
        <w:rPr>
          <w:rFonts w:ascii="宋体" w:hAnsi="宋体" w:cs="宋体"/>
          <w:spacing w:val="10"/>
          <w:sz w:val="24"/>
          <w:szCs w:val="24"/>
        </w:rPr>
        <w:t>2%</w:t>
      </w:r>
      <w:r>
        <w:rPr>
          <w:rFonts w:hint="eastAsia" w:ascii="宋体" w:hAnsi="宋体" w:cs="宋体"/>
          <w:spacing w:val="10"/>
          <w:sz w:val="24"/>
          <w:szCs w:val="24"/>
        </w:rPr>
        <w:t>左右。押金按1个月租金收取，押金计息按同期存款利率1.5%计息。</w:t>
      </w:r>
    </w:p>
    <w:p>
      <w:pPr>
        <w:widowControl/>
        <w:spacing w:line="400" w:lineRule="exact"/>
        <w:ind w:firstLine="390" w:firstLineChars="15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5</w:t>
      </w:r>
      <w:r>
        <w:rPr>
          <w:rFonts w:hint="eastAsia" w:ascii="宋体" w:hAnsi="宋体" w:cs="宋体"/>
          <w:spacing w:val="10"/>
          <w:sz w:val="24"/>
          <w:szCs w:val="24"/>
        </w:rPr>
        <w:t>）年运营费用支出的测算：</w:t>
      </w:r>
    </w:p>
    <w:p>
      <w:pPr>
        <w:widowControl/>
        <w:spacing w:line="400" w:lineRule="exact"/>
        <w:ind w:firstLine="520" w:firstLineChars="200"/>
        <w:rPr>
          <w:rFonts w:ascii="宋体"/>
          <w:spacing w:val="10"/>
          <w:sz w:val="24"/>
          <w:szCs w:val="24"/>
        </w:rPr>
      </w:pPr>
      <w:r>
        <w:rPr>
          <w:rFonts w:hint="eastAsia" w:ascii="宋体" w:cs="宋体"/>
          <w:spacing w:val="10"/>
          <w:sz w:val="24"/>
          <w:szCs w:val="24"/>
        </w:rPr>
        <w:t>①</w:t>
      </w:r>
      <w:r>
        <w:rPr>
          <w:rFonts w:hint="eastAsia" w:ascii="宋体" w:hAnsi="宋体" w:cs="宋体"/>
          <w:spacing w:val="10"/>
          <w:sz w:val="24"/>
          <w:szCs w:val="24"/>
        </w:rPr>
        <w:t>年维修费：根据怀化市</w:t>
      </w:r>
      <w:r>
        <w:rPr>
          <w:rFonts w:ascii="宋体" w:hAnsi="宋体" w:cs="宋体"/>
          <w:spacing w:val="10"/>
          <w:sz w:val="24"/>
          <w:szCs w:val="24"/>
        </w:rPr>
        <w:t>1999</w:t>
      </w:r>
      <w:r>
        <w:rPr>
          <w:rFonts w:hint="eastAsia" w:ascii="宋体" w:hAnsi="宋体" w:cs="宋体"/>
          <w:spacing w:val="10"/>
          <w:sz w:val="24"/>
          <w:szCs w:val="24"/>
        </w:rPr>
        <w:t>年重置价格标准，怀化市钢混结构</w:t>
      </w:r>
      <w:r>
        <w:rPr>
          <w:rFonts w:hint="eastAsia" w:ascii="宋体" w:hAnsi="宋体" w:cs="宋体"/>
          <w:spacing w:val="10"/>
          <w:sz w:val="24"/>
          <w:szCs w:val="24"/>
          <w:lang w:eastAsia="zh-CN"/>
        </w:rPr>
        <w:t>商住楼</w:t>
      </w:r>
      <w:r>
        <w:rPr>
          <w:rFonts w:hint="eastAsia" w:ascii="宋体" w:hAnsi="宋体" w:cs="宋体"/>
          <w:spacing w:val="10"/>
          <w:sz w:val="24"/>
          <w:szCs w:val="24"/>
        </w:rPr>
        <w:t>建筑物重置价标准为</w:t>
      </w:r>
      <w:r>
        <w:rPr>
          <w:rFonts w:ascii="宋体" w:hAnsi="宋体" w:cs="宋体"/>
          <w:spacing w:val="10"/>
          <w:sz w:val="24"/>
          <w:szCs w:val="24"/>
        </w:rPr>
        <w:t>835</w:t>
      </w:r>
      <w:r>
        <w:rPr>
          <w:rFonts w:hint="eastAsia" w:ascii="宋体" w:hAnsi="宋体" w:cs="宋体"/>
          <w:spacing w:val="10"/>
          <w:sz w:val="24"/>
          <w:szCs w:val="24"/>
        </w:rPr>
        <w:t>元</w:t>
      </w:r>
      <w:r>
        <w:rPr>
          <w:rFonts w:ascii="宋体" w:hAnsi="宋体" w:cs="宋体"/>
          <w:spacing w:val="10"/>
          <w:sz w:val="24"/>
          <w:szCs w:val="24"/>
        </w:rPr>
        <w:t>/</w:t>
      </w:r>
      <w:r>
        <w:rPr>
          <w:rFonts w:hint="eastAsia" w:ascii="宋体" w:hAnsi="宋体" w:cs="宋体"/>
          <w:spacing w:val="10"/>
          <w:sz w:val="24"/>
          <w:szCs w:val="24"/>
        </w:rPr>
        <w:t>平方米，依据目前市场情况，结合咨询人员从</w:t>
      </w:r>
      <w:r>
        <w:rPr>
          <w:rFonts w:ascii="宋体" w:hAnsi="宋体" w:cs="宋体"/>
          <w:spacing w:val="10"/>
          <w:sz w:val="24"/>
          <w:szCs w:val="24"/>
        </w:rPr>
        <w:t>1999</w:t>
      </w:r>
      <w:r>
        <w:rPr>
          <w:rFonts w:hint="eastAsia" w:ascii="宋体" w:hAnsi="宋体" w:cs="宋体"/>
          <w:spacing w:val="10"/>
          <w:sz w:val="24"/>
          <w:szCs w:val="24"/>
        </w:rPr>
        <w:t>年至</w:t>
      </w:r>
      <w:r>
        <w:rPr>
          <w:rFonts w:ascii="宋体" w:hAnsi="宋体" w:cs="宋体"/>
          <w:spacing w:val="10"/>
          <w:sz w:val="24"/>
          <w:szCs w:val="24"/>
        </w:rPr>
        <w:t>201</w:t>
      </w:r>
      <w:r>
        <w:rPr>
          <w:rFonts w:hint="eastAsia" w:ascii="宋体" w:hAnsi="宋体" w:cs="宋体"/>
          <w:spacing w:val="10"/>
          <w:sz w:val="24"/>
          <w:szCs w:val="24"/>
          <w:lang w:val="en-US" w:eastAsia="zh-CN"/>
        </w:rPr>
        <w:t>9</w:t>
      </w:r>
      <w:r>
        <w:rPr>
          <w:rFonts w:hint="eastAsia" w:ascii="宋体" w:hAnsi="宋体" w:cs="宋体"/>
          <w:spacing w:val="10"/>
          <w:sz w:val="24"/>
          <w:szCs w:val="24"/>
        </w:rPr>
        <w:t>年对同类建筑物造价信息了解到，房屋重置价格每年增长约</w:t>
      </w:r>
      <w:r>
        <w:rPr>
          <w:rFonts w:ascii="宋体" w:hAnsi="宋体" w:cs="宋体"/>
          <w:spacing w:val="10"/>
          <w:sz w:val="24"/>
          <w:szCs w:val="24"/>
        </w:rPr>
        <w:t>1%</w:t>
      </w:r>
      <w:r>
        <w:rPr>
          <w:rFonts w:hint="eastAsia" w:ascii="宋体" w:hAnsi="宋体" w:cs="宋体"/>
          <w:spacing w:val="10"/>
          <w:sz w:val="24"/>
          <w:szCs w:val="24"/>
        </w:rPr>
        <w:t>，故确定价值时点建筑物重置价为</w:t>
      </w:r>
      <w:r>
        <w:rPr>
          <w:rFonts w:hint="eastAsia" w:ascii="宋体" w:hAnsi="宋体" w:cs="宋体"/>
          <w:spacing w:val="10"/>
          <w:sz w:val="24"/>
          <w:szCs w:val="24"/>
          <w:lang w:val="en-US" w:eastAsia="zh-CN"/>
        </w:rPr>
        <w:t>753</w:t>
      </w:r>
      <w:r>
        <w:rPr>
          <w:rFonts w:hint="eastAsia" w:ascii="宋体" w:hAnsi="宋体" w:cs="宋体"/>
          <w:spacing w:val="10"/>
          <w:sz w:val="24"/>
          <w:szCs w:val="24"/>
        </w:rPr>
        <w:t>元</w:t>
      </w:r>
      <w:r>
        <w:rPr>
          <w:rFonts w:ascii="宋体" w:hAnsi="宋体" w:cs="宋体"/>
          <w:spacing w:val="10"/>
          <w:sz w:val="24"/>
          <w:szCs w:val="24"/>
        </w:rPr>
        <w:t>/</w:t>
      </w:r>
      <w:r>
        <w:rPr>
          <w:rFonts w:hint="eastAsia" w:ascii="宋体" w:hAnsi="宋体" w:cs="宋体"/>
          <w:spacing w:val="10"/>
          <w:sz w:val="24"/>
          <w:szCs w:val="24"/>
        </w:rPr>
        <w:t>平方米，年维修费通常为重置价格的</w:t>
      </w:r>
      <w:r>
        <w:rPr>
          <w:rFonts w:ascii="宋体" w:hAnsi="宋体" w:cs="宋体"/>
          <w:spacing w:val="10"/>
          <w:sz w:val="24"/>
          <w:szCs w:val="24"/>
        </w:rPr>
        <w:t>1%-2%</w:t>
      </w:r>
      <w:r>
        <w:rPr>
          <w:rFonts w:hint="eastAsia" w:ascii="宋体" w:hAnsi="宋体" w:cs="宋体"/>
          <w:spacing w:val="10"/>
          <w:sz w:val="24"/>
          <w:szCs w:val="24"/>
        </w:rPr>
        <w:t>，本次评估取建筑物重置价的</w:t>
      </w:r>
      <w:r>
        <w:rPr>
          <w:rFonts w:hint="eastAsia" w:ascii="宋体" w:hAnsi="宋体" w:cs="宋体"/>
          <w:spacing w:val="10"/>
          <w:sz w:val="24"/>
          <w:szCs w:val="24"/>
          <w:lang w:val="en-US" w:eastAsia="zh-CN"/>
        </w:rPr>
        <w:t>1</w:t>
      </w:r>
      <w:r>
        <w:rPr>
          <w:rFonts w:ascii="宋体" w:hAnsi="宋体" w:cs="宋体"/>
          <w:spacing w:val="10"/>
          <w:sz w:val="24"/>
          <w:szCs w:val="24"/>
        </w:rPr>
        <w:t>%</w:t>
      </w:r>
      <w:r>
        <w:rPr>
          <w:rFonts w:hint="eastAsia" w:ascii="宋体" w:hAnsi="宋体" w:cs="宋体"/>
          <w:spacing w:val="10"/>
          <w:sz w:val="24"/>
          <w:szCs w:val="24"/>
        </w:rPr>
        <w:t>。</w:t>
      </w:r>
    </w:p>
    <w:p>
      <w:pPr>
        <w:widowControl/>
        <w:spacing w:line="400" w:lineRule="exact"/>
        <w:ind w:firstLine="520" w:firstLineChars="200"/>
        <w:rPr>
          <w:rFonts w:ascii="宋体"/>
          <w:spacing w:val="10"/>
          <w:sz w:val="24"/>
          <w:szCs w:val="24"/>
        </w:rPr>
      </w:pPr>
      <w:r>
        <w:rPr>
          <w:rFonts w:hint="eastAsia" w:ascii="宋体" w:cs="宋体"/>
          <w:spacing w:val="10"/>
          <w:sz w:val="24"/>
          <w:szCs w:val="24"/>
        </w:rPr>
        <w:t>②</w:t>
      </w:r>
      <w:r>
        <w:rPr>
          <w:rFonts w:hint="eastAsia" w:ascii="宋体" w:hAnsi="宋体" w:cs="宋体"/>
          <w:spacing w:val="10"/>
          <w:sz w:val="24"/>
          <w:szCs w:val="24"/>
        </w:rPr>
        <w:t>年管理费：商业用房的每年租赁管理费一般为租金收入的</w:t>
      </w:r>
      <w:r>
        <w:rPr>
          <w:rFonts w:ascii="宋体" w:hAnsi="宋体" w:cs="宋体"/>
          <w:spacing w:val="10"/>
          <w:sz w:val="24"/>
          <w:szCs w:val="24"/>
        </w:rPr>
        <w:t>1%-5%</w:t>
      </w:r>
      <w:r>
        <w:rPr>
          <w:rFonts w:hint="eastAsia" w:ascii="宋体" w:hAnsi="宋体" w:cs="宋体"/>
          <w:spacing w:val="10"/>
          <w:sz w:val="24"/>
          <w:szCs w:val="24"/>
        </w:rPr>
        <w:t>，本次取</w:t>
      </w:r>
      <w:r>
        <w:rPr>
          <w:rFonts w:hint="eastAsia" w:ascii="宋体" w:hAnsi="宋体" w:cs="宋体"/>
          <w:spacing w:val="10"/>
          <w:sz w:val="24"/>
          <w:szCs w:val="24"/>
          <w:lang w:val="en-US" w:eastAsia="zh-CN"/>
        </w:rPr>
        <w:t>1.5</w:t>
      </w:r>
      <w:r>
        <w:rPr>
          <w:rFonts w:ascii="宋体" w:hAnsi="宋体" w:cs="宋体"/>
          <w:spacing w:val="10"/>
          <w:sz w:val="24"/>
          <w:szCs w:val="24"/>
        </w:rPr>
        <w:t>%</w:t>
      </w:r>
      <w:r>
        <w:rPr>
          <w:rFonts w:hint="eastAsia" w:ascii="宋体" w:hAnsi="宋体" w:cs="宋体"/>
          <w:spacing w:val="10"/>
          <w:sz w:val="24"/>
          <w:szCs w:val="24"/>
        </w:rPr>
        <w:t>。</w:t>
      </w:r>
    </w:p>
    <w:p>
      <w:pPr>
        <w:widowControl/>
        <w:spacing w:line="400" w:lineRule="exact"/>
        <w:ind w:firstLine="520" w:firstLineChars="200"/>
        <w:rPr>
          <w:rFonts w:ascii="宋体"/>
          <w:spacing w:val="10"/>
          <w:sz w:val="24"/>
          <w:szCs w:val="24"/>
        </w:rPr>
      </w:pPr>
      <w:r>
        <w:rPr>
          <w:rFonts w:hint="eastAsia" w:ascii="宋体" w:cs="宋体"/>
          <w:spacing w:val="10"/>
          <w:sz w:val="24"/>
          <w:szCs w:val="24"/>
        </w:rPr>
        <w:t>③</w:t>
      </w:r>
      <w:r>
        <w:rPr>
          <w:rFonts w:hint="eastAsia" w:ascii="宋体" w:hAnsi="宋体" w:cs="宋体"/>
          <w:spacing w:val="10"/>
          <w:sz w:val="24"/>
          <w:szCs w:val="24"/>
        </w:rPr>
        <w:t>年保险费：按保险费现行标准，取建筑物现值的</w:t>
      </w:r>
      <w:r>
        <w:rPr>
          <w:rFonts w:ascii="宋体" w:hAnsi="宋体" w:cs="宋体"/>
          <w:spacing w:val="10"/>
          <w:sz w:val="24"/>
          <w:szCs w:val="24"/>
        </w:rPr>
        <w:t>0.2%;</w:t>
      </w:r>
    </w:p>
    <w:p>
      <w:pPr>
        <w:spacing w:line="500" w:lineRule="exact"/>
        <w:ind w:firstLine="520" w:firstLineChars="200"/>
        <w:rPr>
          <w:rFonts w:ascii="宋体"/>
          <w:sz w:val="24"/>
          <w:szCs w:val="24"/>
        </w:rPr>
      </w:pPr>
      <w:r>
        <w:rPr>
          <w:rFonts w:hint="eastAsia" w:ascii="宋体" w:hAnsi="宋体" w:cs="宋体"/>
          <w:spacing w:val="10"/>
          <w:sz w:val="24"/>
          <w:szCs w:val="24"/>
        </w:rPr>
        <w:t>④年税费：</w:t>
      </w:r>
      <w:r>
        <w:rPr>
          <w:rFonts w:hint="eastAsia" w:ascii="宋体" w:hAnsi="宋体" w:cs="宋体"/>
          <w:sz w:val="24"/>
          <w:szCs w:val="24"/>
        </w:rPr>
        <w:t>个人出租非住宅、单位出租住宅及非住宅房屋主要缴纳的税费为房产税、营业税、城市维护建设税、教育附加费、地方教育附加费。（备注：含税租金，预收款）</w:t>
      </w:r>
    </w:p>
    <w:p>
      <w:pPr>
        <w:spacing w:line="500" w:lineRule="exact"/>
        <w:ind w:firstLine="480" w:firstLineChars="200"/>
        <w:rPr>
          <w:rFonts w:ascii="宋体"/>
          <w:sz w:val="24"/>
          <w:szCs w:val="24"/>
        </w:rPr>
      </w:pPr>
      <w:r>
        <w:rPr>
          <w:rFonts w:hint="eastAsia" w:ascii="宋体" w:hAnsi="宋体" w:cs="宋体"/>
          <w:sz w:val="24"/>
          <w:szCs w:val="24"/>
        </w:rPr>
        <w:t>根据《中华人民共和国房产税暂行条例》规定：房产税的税率，依照房产租金收入计算缴纳的，税率为</w:t>
      </w:r>
      <w:r>
        <w:rPr>
          <w:rFonts w:ascii="宋体" w:hAnsi="宋体" w:cs="宋体"/>
          <w:sz w:val="24"/>
          <w:szCs w:val="24"/>
        </w:rPr>
        <w:t>12</w:t>
      </w:r>
      <w:r>
        <w:rPr>
          <w:rFonts w:hint="eastAsia" w:ascii="宋体" w:hAnsi="宋体" w:cs="宋体"/>
          <w:sz w:val="24"/>
          <w:szCs w:val="24"/>
        </w:rPr>
        <w:t>％。按照</w:t>
      </w:r>
      <w:r>
        <w:rPr>
          <w:rFonts w:ascii="宋体" w:hAnsi="宋体" w:cs="宋体"/>
          <w:sz w:val="24"/>
          <w:szCs w:val="24"/>
        </w:rPr>
        <w:t>5%</w:t>
      </w:r>
      <w:r>
        <w:rPr>
          <w:rFonts w:hint="eastAsia" w:ascii="宋体" w:hAnsi="宋体" w:cs="宋体"/>
          <w:sz w:val="24"/>
          <w:szCs w:val="24"/>
        </w:rPr>
        <w:t>的征收率计算增值税的应纳税额。城市维护建设税按照纳税人所在地不同实行差别税率，其税率分别为：纳税人所在地在市区的，税率为</w:t>
      </w:r>
      <w:r>
        <w:rPr>
          <w:rFonts w:ascii="宋体" w:hAnsi="宋体" w:cs="宋体"/>
          <w:sz w:val="24"/>
          <w:szCs w:val="24"/>
        </w:rPr>
        <w:t>7%</w:t>
      </w:r>
      <w:r>
        <w:rPr>
          <w:rFonts w:hint="eastAsia" w:ascii="宋体" w:hAnsi="宋体" w:cs="宋体"/>
          <w:sz w:val="24"/>
          <w:szCs w:val="24"/>
        </w:rPr>
        <w:t>；纳税人所在地在县城、镇的，税率为</w:t>
      </w:r>
      <w:r>
        <w:rPr>
          <w:rFonts w:ascii="宋体" w:hAnsi="宋体" w:cs="宋体"/>
          <w:sz w:val="24"/>
          <w:szCs w:val="24"/>
        </w:rPr>
        <w:t>5%</w:t>
      </w:r>
      <w:r>
        <w:rPr>
          <w:rFonts w:hint="eastAsia" w:ascii="宋体" w:hAnsi="宋体" w:cs="宋体"/>
          <w:sz w:val="24"/>
          <w:szCs w:val="24"/>
        </w:rPr>
        <w:t>；纳税人所在地不在市区、县城或镇的，税率为</w:t>
      </w:r>
      <w:r>
        <w:rPr>
          <w:rFonts w:ascii="宋体" w:hAnsi="宋体" w:cs="宋体"/>
          <w:sz w:val="24"/>
          <w:szCs w:val="24"/>
        </w:rPr>
        <w:t>1%</w:t>
      </w:r>
      <w:r>
        <w:rPr>
          <w:rFonts w:hint="eastAsia" w:ascii="宋体" w:hAnsi="宋体" w:cs="宋体"/>
          <w:sz w:val="24"/>
          <w:szCs w:val="24"/>
        </w:rPr>
        <w:t>。根据《湖南省教育费附加和地方教育附加征收管理办法》：教育费附加费率为</w:t>
      </w:r>
      <w:r>
        <w:rPr>
          <w:rFonts w:ascii="宋体" w:hAnsi="宋体" w:cs="宋体"/>
          <w:sz w:val="24"/>
          <w:szCs w:val="24"/>
        </w:rPr>
        <w:t>3%</w:t>
      </w:r>
      <w:r>
        <w:rPr>
          <w:rFonts w:hint="eastAsia" w:ascii="宋体" w:hAnsi="宋体" w:cs="宋体"/>
          <w:sz w:val="24"/>
          <w:szCs w:val="24"/>
        </w:rPr>
        <w:t>，地方教育附加为</w:t>
      </w:r>
      <w:r>
        <w:rPr>
          <w:rFonts w:ascii="宋体" w:hAnsi="宋体" w:cs="宋体"/>
          <w:sz w:val="24"/>
          <w:szCs w:val="24"/>
        </w:rPr>
        <w:t>2%</w:t>
      </w:r>
      <w:r>
        <w:rPr>
          <w:rFonts w:hint="eastAsia" w:ascii="宋体" w:hAnsi="宋体" w:cs="宋体"/>
          <w:sz w:val="24"/>
          <w:szCs w:val="24"/>
        </w:rPr>
        <w:t>。则综合征收率按市区、县城（镇）、及其它地区约为</w:t>
      </w:r>
      <w:r>
        <w:rPr>
          <w:rFonts w:ascii="宋体" w:hAnsi="宋体" w:cs="宋体"/>
          <w:sz w:val="24"/>
          <w:szCs w:val="24"/>
        </w:rPr>
        <w:t>17.33%</w:t>
      </w:r>
      <w:r>
        <w:rPr>
          <w:rFonts w:hint="eastAsia" w:ascii="宋体" w:hAnsi="宋体" w:cs="宋体"/>
          <w:sz w:val="24"/>
          <w:szCs w:val="24"/>
        </w:rPr>
        <w:t>、</w:t>
      </w:r>
      <w:r>
        <w:rPr>
          <w:rFonts w:ascii="宋体" w:hAnsi="宋体" w:cs="宋体"/>
          <w:sz w:val="24"/>
          <w:szCs w:val="24"/>
        </w:rPr>
        <w:t>17.24%</w:t>
      </w:r>
      <w:r>
        <w:rPr>
          <w:rFonts w:hint="eastAsia" w:ascii="宋体" w:hAnsi="宋体" w:cs="宋体"/>
          <w:sz w:val="24"/>
          <w:szCs w:val="24"/>
        </w:rPr>
        <w:t>、</w:t>
      </w:r>
      <w:r>
        <w:rPr>
          <w:rFonts w:ascii="宋体" w:hAnsi="宋体" w:cs="宋体"/>
          <w:sz w:val="24"/>
          <w:szCs w:val="24"/>
        </w:rPr>
        <w:t>17.05%</w:t>
      </w:r>
      <w:r>
        <w:rPr>
          <w:rFonts w:hint="eastAsia" w:ascii="宋体" w:hAnsi="宋体" w:cs="宋体"/>
          <w:sz w:val="24"/>
          <w:szCs w:val="24"/>
        </w:rPr>
        <w:t>，则本次取值为</w:t>
      </w:r>
      <w:r>
        <w:rPr>
          <w:rFonts w:hint="eastAsia" w:ascii="宋体" w:hAnsi="宋体" w:cs="宋体"/>
          <w:sz w:val="24"/>
          <w:szCs w:val="24"/>
          <w:lang w:val="en-US" w:eastAsia="zh-CN"/>
        </w:rPr>
        <w:t>17.33</w:t>
      </w:r>
      <w:r>
        <w:rPr>
          <w:rFonts w:ascii="宋体" w:hAnsi="宋体" w:cs="宋体"/>
          <w:sz w:val="24"/>
          <w:szCs w:val="24"/>
        </w:rPr>
        <w:t>%</w:t>
      </w:r>
      <w:r>
        <w:rPr>
          <w:rFonts w:hint="eastAsia" w:ascii="宋体" w:hAnsi="宋体" w:cs="宋体"/>
          <w:sz w:val="24"/>
          <w:szCs w:val="24"/>
        </w:rPr>
        <w:t>。</w:t>
      </w:r>
    </w:p>
    <w:p>
      <w:pPr>
        <w:widowControl/>
        <w:tabs>
          <w:tab w:val="center" w:pos="4465"/>
        </w:tabs>
        <w:spacing w:line="400" w:lineRule="exact"/>
        <w:ind w:firstLine="520" w:firstLineChars="200"/>
        <w:rPr>
          <w:rFonts w:ascii="宋体"/>
          <w:spacing w:val="10"/>
          <w:sz w:val="24"/>
          <w:szCs w:val="24"/>
        </w:rPr>
      </w:pPr>
      <w:r>
        <w:rPr>
          <w:rFonts w:hint="eastAsia" w:ascii="宋体" w:hAnsi="宋体" w:cs="宋体"/>
          <w:spacing w:val="10"/>
          <w:sz w:val="24"/>
          <w:szCs w:val="24"/>
        </w:rPr>
        <w:t>年运营费用</w:t>
      </w:r>
      <w:r>
        <w:rPr>
          <w:rFonts w:ascii="宋体" w:hAnsi="宋体" w:cs="宋体"/>
          <w:spacing w:val="10"/>
          <w:sz w:val="24"/>
          <w:szCs w:val="24"/>
        </w:rPr>
        <w:t>=</w:t>
      </w:r>
      <w:r>
        <w:rPr>
          <w:rFonts w:hint="eastAsia" w:ascii="宋体" w:hAnsi="宋体" w:cs="宋体"/>
          <w:spacing w:val="10"/>
          <w:sz w:val="24"/>
          <w:szCs w:val="24"/>
        </w:rPr>
        <w:t>年维修费＋年管理费＋年保险费＋年税费</w:t>
      </w:r>
    </w:p>
    <w:p>
      <w:pPr>
        <w:widowControl/>
        <w:spacing w:line="400" w:lineRule="exact"/>
        <w:ind w:left="426" w:leftChars="203" w:firstLine="130" w:firstLineChars="5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6</w:t>
      </w:r>
      <w:r>
        <w:rPr>
          <w:rFonts w:hint="eastAsia" w:ascii="宋体" w:hAnsi="宋体" w:cs="宋体"/>
          <w:spacing w:val="10"/>
          <w:sz w:val="24"/>
          <w:szCs w:val="24"/>
        </w:rPr>
        <w:t>）房地产年净收益的确定</w:t>
      </w:r>
    </w:p>
    <w:p>
      <w:pPr>
        <w:widowControl/>
        <w:spacing w:line="400" w:lineRule="exact"/>
        <w:ind w:left="495"/>
        <w:rPr>
          <w:rFonts w:ascii="宋体"/>
          <w:spacing w:val="10"/>
          <w:sz w:val="24"/>
          <w:szCs w:val="24"/>
        </w:rPr>
      </w:pPr>
      <w:r>
        <w:rPr>
          <w:rFonts w:hint="eastAsia" w:ascii="宋体" w:hAnsi="宋体" w:cs="宋体"/>
          <w:spacing w:val="10"/>
          <w:sz w:val="24"/>
          <w:szCs w:val="24"/>
        </w:rPr>
        <w:t>房地产年净收益</w:t>
      </w:r>
      <w:r>
        <w:rPr>
          <w:rFonts w:ascii="宋体" w:hAnsi="宋体" w:cs="宋体"/>
          <w:spacing w:val="10"/>
          <w:sz w:val="24"/>
          <w:szCs w:val="24"/>
        </w:rPr>
        <w:t>=</w:t>
      </w:r>
      <w:r>
        <w:rPr>
          <w:rFonts w:hint="eastAsia" w:ascii="宋体" w:hAnsi="宋体" w:cs="宋体"/>
          <w:spacing w:val="10"/>
          <w:sz w:val="24"/>
          <w:szCs w:val="24"/>
        </w:rPr>
        <w:t>年客观租金</w:t>
      </w:r>
      <w:r>
        <w:rPr>
          <w:rFonts w:ascii="宋体" w:cs="宋体"/>
          <w:spacing w:val="10"/>
          <w:sz w:val="24"/>
          <w:szCs w:val="24"/>
        </w:rPr>
        <w:t>-</w:t>
      </w:r>
      <w:r>
        <w:rPr>
          <w:rFonts w:hint="eastAsia" w:ascii="宋体" w:hAnsi="宋体" w:cs="宋体"/>
          <w:spacing w:val="10"/>
          <w:sz w:val="24"/>
          <w:szCs w:val="24"/>
        </w:rPr>
        <w:t>年运营费用支出</w:t>
      </w:r>
    </w:p>
    <w:p>
      <w:pPr>
        <w:widowControl/>
        <w:spacing w:line="360" w:lineRule="auto"/>
        <w:ind w:firstLine="520" w:firstLineChars="200"/>
        <w:jc w:val="left"/>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7</w:t>
      </w:r>
      <w:r>
        <w:rPr>
          <w:rFonts w:hint="eastAsia" w:ascii="宋体" w:hAnsi="宋体" w:cs="宋体"/>
          <w:spacing w:val="10"/>
          <w:sz w:val="24"/>
          <w:szCs w:val="24"/>
        </w:rPr>
        <w:t>）上涨率的确定</w:t>
      </w:r>
    </w:p>
    <w:p>
      <w:pPr>
        <w:widowControl/>
        <w:spacing w:line="400" w:lineRule="exact"/>
        <w:ind w:firstLine="520" w:firstLineChars="200"/>
        <w:rPr>
          <w:rFonts w:ascii="宋体"/>
          <w:spacing w:val="10"/>
          <w:sz w:val="24"/>
          <w:szCs w:val="24"/>
        </w:rPr>
      </w:pPr>
      <w:r>
        <w:rPr>
          <w:rFonts w:hint="eastAsia" w:ascii="宋体" w:hAnsi="宋体" w:cs="宋体"/>
          <w:spacing w:val="10"/>
          <w:sz w:val="24"/>
          <w:szCs w:val="24"/>
        </w:rPr>
        <w:t>上涨率，即净收益的逐年递增比率</w:t>
      </w:r>
      <w:r>
        <w:rPr>
          <w:rFonts w:ascii="宋体" w:hAnsi="宋体" w:cs="宋体"/>
          <w:spacing w:val="10"/>
          <w:sz w:val="24"/>
          <w:szCs w:val="24"/>
        </w:rPr>
        <w:t xml:space="preserve">, </w:t>
      </w:r>
      <w:r>
        <w:rPr>
          <w:rFonts w:hint="eastAsia" w:ascii="宋体" w:hAnsi="宋体" w:cs="宋体"/>
          <w:spacing w:val="10"/>
          <w:sz w:val="24"/>
          <w:szCs w:val="24"/>
        </w:rPr>
        <w:t>是依据估价对象类似房地产历年租赁资料，根据替代原理，通过对同一供需圈内房地产样点的租赁价格变化分析求取。经过对该地段的租赁样点调查分析，得出上涨率为</w:t>
      </w:r>
      <w:r>
        <w:rPr>
          <w:rFonts w:ascii="宋体" w:hAnsi="宋体" w:cs="宋体"/>
          <w:spacing w:val="10"/>
          <w:sz w:val="24"/>
          <w:szCs w:val="24"/>
        </w:rPr>
        <w:t>5%</w:t>
      </w:r>
      <w:r>
        <w:rPr>
          <w:rFonts w:hint="eastAsia" w:ascii="宋体" w:hAnsi="宋体" w:cs="宋体"/>
          <w:spacing w:val="10"/>
          <w:sz w:val="24"/>
          <w:szCs w:val="24"/>
        </w:rPr>
        <w:t>。</w:t>
      </w:r>
    </w:p>
    <w:p>
      <w:pPr>
        <w:widowControl/>
        <w:spacing w:line="400" w:lineRule="exact"/>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8</w:t>
      </w:r>
      <w:r>
        <w:rPr>
          <w:rFonts w:hint="eastAsia" w:ascii="宋体" w:hAnsi="宋体" w:cs="宋体"/>
          <w:spacing w:val="10"/>
          <w:sz w:val="24"/>
          <w:szCs w:val="24"/>
        </w:rPr>
        <w:t>）报酬率的确定</w:t>
      </w:r>
    </w:p>
    <w:p>
      <w:pPr>
        <w:widowControl/>
        <w:spacing w:line="400" w:lineRule="exact"/>
        <w:ind w:left="495"/>
        <w:rPr>
          <w:rFonts w:hint="eastAsia" w:ascii="宋体" w:hAnsi="宋体" w:cs="宋体"/>
          <w:spacing w:val="10"/>
          <w:sz w:val="24"/>
          <w:szCs w:val="24"/>
        </w:rPr>
      </w:pPr>
      <w:r>
        <w:rPr>
          <w:rFonts w:hint="eastAsia" w:ascii="宋体" w:hAnsi="宋体" w:cs="宋体"/>
          <w:spacing w:val="10"/>
          <w:sz w:val="24"/>
          <w:szCs w:val="24"/>
        </w:rPr>
        <w:t>采用安全利率加风险调整值法：</w:t>
      </w:r>
    </w:p>
    <w:tbl>
      <w:tblPr>
        <w:tblStyle w:val="40"/>
        <w:tblW w:w="8440" w:type="dxa"/>
        <w:tblInd w:w="0" w:type="dxa"/>
        <w:tblLayout w:type="fixed"/>
        <w:tblCellMar>
          <w:top w:w="0" w:type="dxa"/>
          <w:left w:w="0" w:type="dxa"/>
          <w:bottom w:w="0" w:type="dxa"/>
          <w:right w:w="0" w:type="dxa"/>
        </w:tblCellMar>
      </w:tblPr>
      <w:tblGrid>
        <w:gridCol w:w="5615"/>
        <w:gridCol w:w="2825"/>
      </w:tblGrid>
      <w:tr>
        <w:tblPrEx>
          <w:tblLayout w:type="fixed"/>
          <w:tblCellMar>
            <w:top w:w="0" w:type="dxa"/>
            <w:left w:w="0" w:type="dxa"/>
            <w:bottom w:w="0" w:type="dxa"/>
            <w:right w:w="0" w:type="dxa"/>
          </w:tblCellMar>
        </w:tblPrEx>
        <w:trPr>
          <w:trHeight w:val="240" w:hRule="atLeast"/>
        </w:trPr>
        <w:tc>
          <w:tcPr>
            <w:tcW w:w="5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w:t>
            </w:r>
          </w:p>
        </w:tc>
        <w:tc>
          <w:tcPr>
            <w:tcW w:w="2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数值</w:t>
            </w:r>
          </w:p>
        </w:tc>
      </w:tr>
      <w:tr>
        <w:tblPrEx>
          <w:tblLayout w:type="fixed"/>
          <w:tblCellMar>
            <w:top w:w="0" w:type="dxa"/>
            <w:left w:w="0" w:type="dxa"/>
            <w:bottom w:w="0" w:type="dxa"/>
            <w:right w:w="0" w:type="dxa"/>
          </w:tblCellMar>
        </w:tblPrEx>
        <w:trPr>
          <w:trHeight w:val="240" w:hRule="atLeast"/>
        </w:trPr>
        <w:tc>
          <w:tcPr>
            <w:tcW w:w="5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无风险报酬率</w:t>
            </w:r>
          </w:p>
        </w:tc>
        <w:tc>
          <w:tcPr>
            <w:tcW w:w="2825" w:type="dxa"/>
            <w:tcBorders>
              <w:top w:val="nil"/>
              <w:left w:val="nil"/>
              <w:bottom w:val="single" w:color="000000" w:sz="4" w:space="0"/>
              <w:right w:val="single" w:color="000000" w:sz="4" w:space="0"/>
            </w:tcBorders>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r>
      <w:tr>
        <w:tblPrEx>
          <w:tblLayout w:type="fixed"/>
          <w:tblCellMar>
            <w:top w:w="0" w:type="dxa"/>
            <w:left w:w="0" w:type="dxa"/>
            <w:bottom w:w="0" w:type="dxa"/>
            <w:right w:w="0" w:type="dxa"/>
          </w:tblCellMar>
        </w:tblPrEx>
        <w:trPr>
          <w:trHeight w:val="300" w:hRule="atLeast"/>
        </w:trPr>
        <w:tc>
          <w:tcPr>
            <w:tcW w:w="5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投资风险补偿</w:t>
            </w:r>
          </w:p>
        </w:tc>
        <w:tc>
          <w:tcPr>
            <w:tcW w:w="2825" w:type="dxa"/>
            <w:tcBorders>
              <w:top w:val="nil"/>
              <w:left w:val="nil"/>
              <w:bottom w:val="single" w:color="000000" w:sz="4" w:space="0"/>
              <w:right w:val="single" w:color="000000" w:sz="4" w:space="0"/>
            </w:tcBorders>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1.80%</w:t>
            </w:r>
          </w:p>
        </w:tc>
      </w:tr>
      <w:tr>
        <w:tblPrEx>
          <w:tblLayout w:type="fixed"/>
          <w:tblCellMar>
            <w:top w:w="0" w:type="dxa"/>
            <w:left w:w="0" w:type="dxa"/>
            <w:bottom w:w="0" w:type="dxa"/>
            <w:right w:w="0" w:type="dxa"/>
          </w:tblCellMar>
        </w:tblPrEx>
        <w:trPr>
          <w:trHeight w:val="240" w:hRule="atLeast"/>
        </w:trPr>
        <w:tc>
          <w:tcPr>
            <w:tcW w:w="5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管理负担补偿</w:t>
            </w:r>
          </w:p>
        </w:tc>
        <w:tc>
          <w:tcPr>
            <w:tcW w:w="2825" w:type="dxa"/>
            <w:tcBorders>
              <w:top w:val="nil"/>
              <w:left w:val="nil"/>
              <w:bottom w:val="single" w:color="000000" w:sz="4" w:space="0"/>
              <w:right w:val="single" w:color="000000" w:sz="4" w:space="0"/>
            </w:tcBorders>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1.50%</w:t>
            </w:r>
          </w:p>
        </w:tc>
      </w:tr>
      <w:tr>
        <w:tblPrEx>
          <w:tblLayout w:type="fixed"/>
          <w:tblCellMar>
            <w:top w:w="0" w:type="dxa"/>
            <w:left w:w="0" w:type="dxa"/>
            <w:bottom w:w="0" w:type="dxa"/>
            <w:right w:w="0" w:type="dxa"/>
          </w:tblCellMar>
        </w:tblPrEx>
        <w:trPr>
          <w:trHeight w:val="240" w:hRule="atLeast"/>
        </w:trPr>
        <w:tc>
          <w:tcPr>
            <w:tcW w:w="5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缺乏流动性补偿</w:t>
            </w:r>
          </w:p>
        </w:tc>
        <w:tc>
          <w:tcPr>
            <w:tcW w:w="2825" w:type="dxa"/>
            <w:tcBorders>
              <w:top w:val="nil"/>
              <w:left w:val="nil"/>
              <w:bottom w:val="single" w:color="000000" w:sz="4" w:space="0"/>
              <w:right w:val="single" w:color="000000" w:sz="4" w:space="0"/>
            </w:tcBorders>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2.00%</w:t>
            </w:r>
          </w:p>
        </w:tc>
      </w:tr>
      <w:tr>
        <w:tblPrEx>
          <w:tblLayout w:type="fixed"/>
          <w:tblCellMar>
            <w:top w:w="0" w:type="dxa"/>
            <w:left w:w="0" w:type="dxa"/>
            <w:bottom w:w="0" w:type="dxa"/>
            <w:right w:w="0" w:type="dxa"/>
          </w:tblCellMar>
        </w:tblPrEx>
        <w:trPr>
          <w:trHeight w:val="240" w:hRule="atLeast"/>
        </w:trPr>
        <w:tc>
          <w:tcPr>
            <w:tcW w:w="5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易于获得融资的好处</w:t>
            </w:r>
          </w:p>
        </w:tc>
        <w:tc>
          <w:tcPr>
            <w:tcW w:w="2825" w:type="dxa"/>
            <w:tcBorders>
              <w:top w:val="nil"/>
              <w:left w:val="nil"/>
              <w:bottom w:val="single" w:color="000000" w:sz="4" w:space="0"/>
              <w:right w:val="single" w:color="000000" w:sz="4" w:space="0"/>
            </w:tcBorders>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-0.50%</w:t>
            </w:r>
          </w:p>
        </w:tc>
      </w:tr>
      <w:tr>
        <w:tblPrEx>
          <w:tblLayout w:type="fixed"/>
          <w:tblCellMar>
            <w:top w:w="0" w:type="dxa"/>
            <w:left w:w="0" w:type="dxa"/>
            <w:bottom w:w="0" w:type="dxa"/>
            <w:right w:w="0" w:type="dxa"/>
          </w:tblCellMar>
        </w:tblPrEx>
        <w:trPr>
          <w:trHeight w:val="240" w:hRule="atLeast"/>
        </w:trPr>
        <w:tc>
          <w:tcPr>
            <w:tcW w:w="5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所得税抵扣的好处</w:t>
            </w:r>
          </w:p>
        </w:tc>
        <w:tc>
          <w:tcPr>
            <w:tcW w:w="2825" w:type="dxa"/>
            <w:tcBorders>
              <w:top w:val="nil"/>
              <w:left w:val="nil"/>
              <w:bottom w:val="single" w:color="000000" w:sz="4" w:space="0"/>
              <w:right w:val="single" w:color="000000" w:sz="4" w:space="0"/>
            </w:tcBorders>
            <w:noWrap w:val="0"/>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-0.50%</w:t>
            </w:r>
          </w:p>
        </w:tc>
      </w:tr>
      <w:tr>
        <w:tblPrEx>
          <w:tblLayout w:type="fixed"/>
          <w:tblCellMar>
            <w:top w:w="0" w:type="dxa"/>
            <w:left w:w="0" w:type="dxa"/>
            <w:bottom w:w="0" w:type="dxa"/>
            <w:right w:w="0" w:type="dxa"/>
          </w:tblCellMar>
        </w:tblPrEx>
        <w:trPr>
          <w:trHeight w:val="240" w:hRule="atLeast"/>
        </w:trPr>
        <w:tc>
          <w:tcPr>
            <w:tcW w:w="5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报酬率</w:t>
            </w:r>
          </w:p>
        </w:tc>
        <w:tc>
          <w:tcPr>
            <w:tcW w:w="2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5.80%</w:t>
            </w:r>
          </w:p>
        </w:tc>
      </w:tr>
    </w:tbl>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9</w:t>
      </w:r>
      <w:r>
        <w:rPr>
          <w:rFonts w:hint="eastAsia" w:ascii="宋体" w:hAnsi="宋体" w:cs="宋体"/>
          <w:spacing w:val="10"/>
          <w:sz w:val="24"/>
          <w:szCs w:val="24"/>
        </w:rPr>
        <w:t>）收益年限的确定</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估价对象建筑物经济寿命为</w:t>
      </w:r>
      <w:r>
        <w:rPr>
          <w:rFonts w:hint="eastAsia" w:ascii="宋体" w:hAnsi="宋体" w:cs="宋体"/>
          <w:spacing w:val="10"/>
          <w:sz w:val="24"/>
          <w:szCs w:val="24"/>
          <w:lang w:val="en-US" w:eastAsia="zh-CN"/>
        </w:rPr>
        <w:t>50</w:t>
      </w:r>
      <w:r>
        <w:rPr>
          <w:rFonts w:hint="eastAsia" w:ascii="宋体" w:hAnsi="宋体" w:cs="宋体"/>
          <w:spacing w:val="10"/>
          <w:sz w:val="24"/>
          <w:szCs w:val="24"/>
        </w:rPr>
        <w:t>年，已用</w:t>
      </w:r>
      <w:r>
        <w:rPr>
          <w:rFonts w:hint="eastAsia" w:ascii="宋体" w:hAnsi="宋体" w:cs="宋体"/>
          <w:spacing w:val="10"/>
          <w:sz w:val="24"/>
          <w:szCs w:val="24"/>
          <w:lang w:val="en-US" w:eastAsia="zh-CN"/>
        </w:rPr>
        <w:t>11</w:t>
      </w:r>
      <w:r>
        <w:rPr>
          <w:rFonts w:hint="eastAsia" w:ascii="宋体" w:hAnsi="宋体" w:cs="宋体"/>
          <w:spacing w:val="10"/>
          <w:sz w:val="24"/>
          <w:szCs w:val="24"/>
        </w:rPr>
        <w:t>年，剩余使用年限为</w:t>
      </w:r>
      <w:r>
        <w:rPr>
          <w:rFonts w:hint="eastAsia" w:ascii="宋体" w:hAnsi="宋体" w:cs="宋体"/>
          <w:spacing w:val="10"/>
          <w:sz w:val="24"/>
          <w:szCs w:val="24"/>
          <w:lang w:val="en-US" w:eastAsia="zh-CN"/>
        </w:rPr>
        <w:t>39</w:t>
      </w:r>
      <w:r>
        <w:rPr>
          <w:rFonts w:hint="eastAsia" w:ascii="宋体" w:hAnsi="宋体" w:cs="宋体"/>
          <w:spacing w:val="10"/>
          <w:sz w:val="24"/>
          <w:szCs w:val="24"/>
        </w:rPr>
        <w:t>年，</w:t>
      </w:r>
      <w:r>
        <w:rPr>
          <w:rFonts w:hint="eastAsia" w:ascii="宋体" w:hAnsi="宋体" w:cs="宋体"/>
          <w:spacing w:val="10"/>
          <w:sz w:val="24"/>
          <w:szCs w:val="24"/>
          <w:lang w:eastAsia="zh-CN"/>
        </w:rPr>
        <w:t>委托人并未提供土地使用权证</w:t>
      </w:r>
      <w:r>
        <w:rPr>
          <w:rFonts w:hint="eastAsia" w:ascii="宋体" w:hAnsi="宋体" w:cs="宋体"/>
          <w:spacing w:val="10"/>
          <w:sz w:val="24"/>
          <w:szCs w:val="24"/>
        </w:rPr>
        <w:t>，</w:t>
      </w:r>
      <w:r>
        <w:rPr>
          <w:rFonts w:hint="eastAsia" w:ascii="宋体" w:hAnsi="宋体" w:cs="宋体"/>
          <w:spacing w:val="10"/>
          <w:sz w:val="24"/>
          <w:szCs w:val="24"/>
          <w:lang w:eastAsia="zh-CN"/>
        </w:rPr>
        <w:t>假设土地为出让土地，商业用地使用年限为</w:t>
      </w:r>
      <w:r>
        <w:rPr>
          <w:rFonts w:hint="eastAsia" w:ascii="宋体" w:hAnsi="宋体" w:cs="宋体"/>
          <w:spacing w:val="10"/>
          <w:sz w:val="24"/>
          <w:szCs w:val="24"/>
          <w:lang w:val="en-US" w:eastAsia="zh-CN"/>
        </w:rPr>
        <w:t>40年，住宅用地使用年限为70年，</w:t>
      </w:r>
      <w:r>
        <w:rPr>
          <w:rFonts w:hint="eastAsia" w:ascii="宋体" w:hAnsi="宋体" w:cs="宋体"/>
          <w:spacing w:val="10"/>
          <w:sz w:val="24"/>
          <w:szCs w:val="24"/>
        </w:rPr>
        <w:t>按建筑物</w:t>
      </w:r>
      <w:r>
        <w:rPr>
          <w:rFonts w:hint="eastAsia" w:ascii="宋体" w:hAnsi="宋体" w:cs="宋体"/>
          <w:spacing w:val="10"/>
          <w:sz w:val="24"/>
          <w:szCs w:val="24"/>
          <w:lang w:eastAsia="zh-CN"/>
        </w:rPr>
        <w:t>与土地</w:t>
      </w:r>
      <w:r>
        <w:rPr>
          <w:rFonts w:hint="eastAsia" w:ascii="宋体" w:hAnsi="宋体" w:cs="宋体"/>
          <w:spacing w:val="10"/>
          <w:sz w:val="24"/>
          <w:szCs w:val="24"/>
        </w:rPr>
        <w:t>剩余使用年期</w:t>
      </w:r>
      <w:r>
        <w:rPr>
          <w:rFonts w:hint="eastAsia" w:ascii="宋体" w:hAnsi="宋体" w:cs="宋体"/>
          <w:spacing w:val="10"/>
          <w:sz w:val="24"/>
          <w:szCs w:val="24"/>
          <w:lang w:eastAsia="zh-CN"/>
        </w:rPr>
        <w:t>孰短</w:t>
      </w:r>
      <w:r>
        <w:rPr>
          <w:rFonts w:hint="eastAsia" w:ascii="宋体" w:hAnsi="宋体" w:cs="宋体"/>
          <w:spacing w:val="10"/>
          <w:sz w:val="24"/>
          <w:szCs w:val="24"/>
        </w:rPr>
        <w:t>，则收益年限取</w:t>
      </w:r>
      <w:r>
        <w:rPr>
          <w:rFonts w:hint="eastAsia" w:ascii="宋体" w:hAnsi="宋体" w:cs="宋体"/>
          <w:spacing w:val="10"/>
          <w:sz w:val="24"/>
          <w:szCs w:val="24"/>
          <w:lang w:val="en-US" w:eastAsia="zh-CN"/>
        </w:rPr>
        <w:t>39</w:t>
      </w:r>
      <w:r>
        <w:rPr>
          <w:rFonts w:hint="eastAsia" w:ascii="宋体" w:hAnsi="宋体" w:cs="宋体"/>
          <w:spacing w:val="10"/>
          <w:sz w:val="24"/>
          <w:szCs w:val="24"/>
        </w:rPr>
        <w:t>年。</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w:t>
      </w:r>
      <w:r>
        <w:rPr>
          <w:rFonts w:ascii="宋体" w:hAnsi="宋体" w:cs="宋体"/>
          <w:spacing w:val="10"/>
          <w:sz w:val="24"/>
          <w:szCs w:val="24"/>
        </w:rPr>
        <w:t>10</w:t>
      </w:r>
      <w:r>
        <w:rPr>
          <w:rFonts w:hint="eastAsia" w:ascii="宋体" w:hAnsi="宋体" w:cs="宋体"/>
          <w:spacing w:val="10"/>
          <w:sz w:val="24"/>
          <w:szCs w:val="24"/>
        </w:rPr>
        <w:t>）收益价格的计算：</w:t>
      </w:r>
    </w:p>
    <w:p>
      <w:pPr>
        <w:widowControl/>
        <w:spacing w:line="360" w:lineRule="auto"/>
        <w:ind w:firstLine="520" w:firstLineChars="200"/>
        <w:rPr>
          <w:rFonts w:ascii="宋体"/>
          <w:spacing w:val="10"/>
          <w:sz w:val="24"/>
          <w:szCs w:val="24"/>
        </w:rPr>
      </w:pPr>
      <w:r>
        <w:rPr>
          <w:rFonts w:hint="eastAsia" w:ascii="宋体" w:hAnsi="宋体" w:cs="宋体"/>
          <w:spacing w:val="10"/>
          <w:sz w:val="24"/>
          <w:szCs w:val="24"/>
        </w:rPr>
        <w:t>收益价格</w:t>
      </w:r>
      <w:r>
        <w:rPr>
          <w:rFonts w:ascii="宋体" w:hAnsi="宋体" w:cs="宋体"/>
          <w:spacing w:val="10"/>
          <w:sz w:val="24"/>
          <w:szCs w:val="24"/>
        </w:rPr>
        <w:t xml:space="preserve"> P= P=A/(Y-g)</w:t>
      </w:r>
      <w:r>
        <w:rPr>
          <w:rFonts w:hint="eastAsia" w:ascii="宋体" w:hAnsi="宋体" w:cs="宋体"/>
          <w:spacing w:val="10"/>
          <w:sz w:val="24"/>
          <w:szCs w:val="24"/>
        </w:rPr>
        <w:t>×</w:t>
      </w:r>
      <w:r>
        <w:rPr>
          <w:rFonts w:ascii="宋体"/>
          <w:spacing w:val="10"/>
          <w:sz w:val="24"/>
          <w:szCs w:val="24"/>
        </w:rPr>
        <w:t>{</w:t>
      </w:r>
      <w:r>
        <w:rPr>
          <w:rFonts w:ascii="宋体" w:hAnsi="宋体" w:cs="宋体"/>
          <w:spacing w:val="10"/>
          <w:sz w:val="24"/>
          <w:szCs w:val="24"/>
        </w:rPr>
        <w:t>1-[(1+g)/</w:t>
      </w:r>
      <w:r>
        <w:rPr>
          <w:rFonts w:hint="eastAsia" w:ascii="宋体" w:hAnsi="宋体" w:cs="宋体"/>
          <w:spacing w:val="10"/>
          <w:sz w:val="24"/>
          <w:szCs w:val="24"/>
        </w:rPr>
        <w:t>（</w:t>
      </w:r>
      <w:r>
        <w:rPr>
          <w:rFonts w:ascii="宋体" w:hAnsi="宋体" w:cs="宋体"/>
          <w:spacing w:val="10"/>
          <w:sz w:val="24"/>
          <w:szCs w:val="24"/>
        </w:rPr>
        <w:t>1+Y</w:t>
      </w:r>
      <w:r>
        <w:rPr>
          <w:rFonts w:hint="eastAsia" w:ascii="宋体" w:hAnsi="宋体" w:cs="宋体"/>
          <w:spacing w:val="10"/>
          <w:sz w:val="24"/>
          <w:szCs w:val="24"/>
        </w:rPr>
        <w:t>）</w:t>
      </w:r>
      <w:r>
        <w:rPr>
          <w:rFonts w:ascii="宋体" w:hAnsi="宋体" w:cs="宋体"/>
          <w:spacing w:val="10"/>
          <w:sz w:val="24"/>
          <w:szCs w:val="24"/>
        </w:rPr>
        <w:t>]</w:t>
      </w:r>
      <w:r>
        <w:rPr>
          <w:rFonts w:ascii="宋体" w:hAnsi="宋体" w:cs="宋体"/>
          <w:spacing w:val="10"/>
          <w:sz w:val="24"/>
          <w:szCs w:val="24"/>
          <w:vertAlign w:val="superscript"/>
        </w:rPr>
        <w:t>33.39</w:t>
      </w:r>
      <w:r>
        <w:rPr>
          <w:rFonts w:ascii="宋体"/>
          <w:spacing w:val="10"/>
          <w:sz w:val="24"/>
          <w:szCs w:val="24"/>
        </w:rPr>
        <w:t>}</w:t>
      </w:r>
    </w:p>
    <w:p>
      <w:pPr>
        <w:widowControl/>
        <w:spacing w:line="360" w:lineRule="auto"/>
        <w:rPr>
          <w:rFonts w:hint="default" w:ascii="宋体" w:eastAsia="宋体"/>
          <w:spacing w:val="10"/>
          <w:sz w:val="24"/>
          <w:szCs w:val="24"/>
          <w:lang w:val="en-US" w:eastAsia="zh-CN"/>
        </w:rPr>
      </w:pPr>
      <w:r>
        <w:rPr>
          <w:rFonts w:hint="eastAsia" w:ascii="宋体"/>
          <w:spacing w:val="10"/>
          <w:sz w:val="24"/>
          <w:szCs w:val="24"/>
          <w:lang w:val="en-US" w:eastAsia="zh-CN"/>
        </w:rPr>
        <w:t>01幢101号</w:t>
      </w:r>
    </w:p>
    <w:tbl>
      <w:tblPr>
        <w:tblStyle w:val="40"/>
        <w:tblW w:w="8440" w:type="dxa"/>
        <w:tblInd w:w="0" w:type="dxa"/>
        <w:tblLayout w:type="fixed"/>
        <w:tblCellMar>
          <w:top w:w="0" w:type="dxa"/>
          <w:left w:w="0" w:type="dxa"/>
          <w:bottom w:w="0" w:type="dxa"/>
          <w:right w:w="0" w:type="dxa"/>
        </w:tblCellMar>
      </w:tblPr>
      <w:tblGrid>
        <w:gridCol w:w="6174"/>
        <w:gridCol w:w="2266"/>
      </w:tblGrid>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一、有效毛收入</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440.51 </w:t>
            </w:r>
          </w:p>
        </w:tc>
      </w:tr>
      <w:tr>
        <w:tblPrEx>
          <w:tblLayout w:type="fixed"/>
          <w:tblCellMar>
            <w:top w:w="0" w:type="dxa"/>
            <w:left w:w="0" w:type="dxa"/>
            <w:bottom w:w="0" w:type="dxa"/>
            <w:right w:w="0" w:type="dxa"/>
          </w:tblCellMar>
        </w:tblPrEx>
        <w:trPr>
          <w:trHeight w:val="255"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客观单位租金(元/M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·天)</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1.23 </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押金或保证金</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36.90 </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空置率</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Layout w:type="fixed"/>
          <w:tblCellMar>
            <w:top w:w="0" w:type="dxa"/>
            <w:left w:w="0" w:type="dxa"/>
            <w:bottom w:w="0" w:type="dxa"/>
            <w:right w:w="0" w:type="dxa"/>
          </w:tblCellMar>
        </w:tblPrEx>
        <w:trPr>
          <w:trHeight w:val="255"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建筑面积(M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40.09</w:t>
            </w:r>
          </w:p>
        </w:tc>
      </w:tr>
      <w:tr>
        <w:tblPrEx>
          <w:tblLayout w:type="fixed"/>
          <w:tblCellMar>
            <w:top w:w="0" w:type="dxa"/>
            <w:left w:w="0" w:type="dxa"/>
            <w:bottom w:w="0" w:type="dxa"/>
            <w:right w:w="0" w:type="dxa"/>
          </w:tblCellMar>
        </w:tblPrEx>
        <w:trPr>
          <w:trHeight w:val="255"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年租金收入(元/M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439.97 </w:t>
            </w:r>
          </w:p>
        </w:tc>
      </w:tr>
      <w:tr>
        <w:tblPrEx>
          <w:tblLayout w:type="fixed"/>
          <w:tblCellMar>
            <w:top w:w="0" w:type="dxa"/>
            <w:left w:w="0" w:type="dxa"/>
            <w:bottom w:w="0" w:type="dxa"/>
            <w:right w:w="0" w:type="dxa"/>
          </w:tblCellMar>
        </w:tblPrEx>
        <w:trPr>
          <w:trHeight w:val="255"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押金或租赁保证金利息收入(元/M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0.54 </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二、总费用</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91.15 </w:t>
            </w:r>
          </w:p>
        </w:tc>
      </w:tr>
      <w:tr>
        <w:tblPrEx>
          <w:tblLayout w:type="fixed"/>
          <w:tblCellMar>
            <w:top w:w="0" w:type="dxa"/>
            <w:left w:w="0" w:type="dxa"/>
            <w:bottom w:w="0" w:type="dxa"/>
            <w:right w:w="0" w:type="dxa"/>
          </w:tblCellMar>
        </w:tblPrEx>
        <w:trPr>
          <w:trHeight w:val="255"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建筑物重置价格（元/M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753 </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成新率</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78%</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维修费</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7.53 </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管理费</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6.60</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保险费</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1.17</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年税费</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75.85</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装饰、家具及设备折旧</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三、年净收益</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349.36 </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四、报酬率及收益年限</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上涨率</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报酬率</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5.80%</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收益年限</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39.00 </w:t>
            </w:r>
          </w:p>
        </w:tc>
      </w:tr>
      <w:tr>
        <w:tblPrEx>
          <w:tblLayout w:type="fixed"/>
          <w:tblCellMar>
            <w:top w:w="0" w:type="dxa"/>
            <w:left w:w="0" w:type="dxa"/>
            <w:bottom w:w="0" w:type="dxa"/>
            <w:right w:w="0" w:type="dxa"/>
          </w:tblCellMar>
        </w:tblPrEx>
        <w:trPr>
          <w:trHeight w:val="24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五、房地产价值</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300" w:hRule="atLeast"/>
        </w:trPr>
        <w:tc>
          <w:tcPr>
            <w:tcW w:w="61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房地产单价（元/M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11189</w:t>
            </w:r>
          </w:p>
        </w:tc>
      </w:tr>
    </w:tbl>
    <w:p>
      <w:pPr>
        <w:widowControl/>
        <w:spacing w:line="400" w:lineRule="exact"/>
        <w:rPr>
          <w:rFonts w:hint="eastAsia" w:ascii="宋体" w:hAnsi="宋体" w:cs="宋体"/>
          <w:spacing w:val="10"/>
          <w:sz w:val="24"/>
          <w:szCs w:val="24"/>
          <w:lang w:val="en-US" w:eastAsia="zh-CN"/>
        </w:rPr>
      </w:pPr>
      <w:r>
        <w:rPr>
          <w:rFonts w:hint="eastAsia" w:ascii="宋体" w:hAnsi="宋体" w:cs="宋体"/>
          <w:spacing w:val="10"/>
          <w:sz w:val="24"/>
          <w:szCs w:val="24"/>
          <w:lang w:val="en-US" w:eastAsia="zh-CN"/>
        </w:rPr>
        <w:t>02幢104、105号</w:t>
      </w:r>
    </w:p>
    <w:tbl>
      <w:tblPr>
        <w:tblStyle w:val="40"/>
        <w:tblW w:w="8440" w:type="dxa"/>
        <w:tblInd w:w="0" w:type="dxa"/>
        <w:tblLayout w:type="fixed"/>
        <w:tblCellMar>
          <w:top w:w="0" w:type="dxa"/>
          <w:left w:w="0" w:type="dxa"/>
          <w:bottom w:w="0" w:type="dxa"/>
          <w:right w:w="0" w:type="dxa"/>
        </w:tblCellMar>
      </w:tblPr>
      <w:tblGrid>
        <w:gridCol w:w="6179"/>
        <w:gridCol w:w="2261"/>
      </w:tblGrid>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一、有效毛收入</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 xml:space="preserve">222.04 </w:t>
            </w:r>
          </w:p>
        </w:tc>
      </w:tr>
      <w:tr>
        <w:tblPrEx>
          <w:tblLayout w:type="fixed"/>
          <w:tblCellMar>
            <w:top w:w="0" w:type="dxa"/>
            <w:left w:w="0" w:type="dxa"/>
            <w:bottom w:w="0" w:type="dxa"/>
            <w:right w:w="0" w:type="dxa"/>
          </w:tblCellMar>
        </w:tblPrEx>
        <w:trPr>
          <w:trHeight w:val="255"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客观单位租金(元/M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·天)</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0.62 </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押金或保证金</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18.60 </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空置率</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r>
      <w:tr>
        <w:tblPrEx>
          <w:tblLayout w:type="fixed"/>
          <w:tblCellMar>
            <w:top w:w="0" w:type="dxa"/>
            <w:left w:w="0" w:type="dxa"/>
            <w:bottom w:w="0" w:type="dxa"/>
            <w:right w:w="0" w:type="dxa"/>
          </w:tblCellMar>
        </w:tblPrEx>
        <w:trPr>
          <w:trHeight w:val="255"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建筑面积(M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40.09</w:t>
            </w:r>
          </w:p>
        </w:tc>
      </w:tr>
      <w:tr>
        <w:tblPrEx>
          <w:tblLayout w:type="fixed"/>
          <w:tblCellMar>
            <w:top w:w="0" w:type="dxa"/>
            <w:left w:w="0" w:type="dxa"/>
            <w:bottom w:w="0" w:type="dxa"/>
            <w:right w:w="0" w:type="dxa"/>
          </w:tblCellMar>
        </w:tblPrEx>
        <w:trPr>
          <w:trHeight w:val="255"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年租金收入(元/M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221.77 </w:t>
            </w:r>
          </w:p>
        </w:tc>
      </w:tr>
      <w:tr>
        <w:tblPrEx>
          <w:tblLayout w:type="fixed"/>
          <w:tblCellMar>
            <w:top w:w="0" w:type="dxa"/>
            <w:left w:w="0" w:type="dxa"/>
            <w:bottom w:w="0" w:type="dxa"/>
            <w:right w:w="0" w:type="dxa"/>
          </w:tblCellMar>
        </w:tblPrEx>
        <w:trPr>
          <w:trHeight w:val="255"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押金或租赁保证金利息收入(元/M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0.27 </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二、总费用</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50.26 </w:t>
            </w:r>
          </w:p>
        </w:tc>
      </w:tr>
      <w:tr>
        <w:tblPrEx>
          <w:tblLayout w:type="fixed"/>
          <w:tblCellMar>
            <w:top w:w="0" w:type="dxa"/>
            <w:left w:w="0" w:type="dxa"/>
            <w:bottom w:w="0" w:type="dxa"/>
            <w:right w:w="0" w:type="dxa"/>
          </w:tblCellMar>
        </w:tblPrEx>
        <w:trPr>
          <w:trHeight w:val="255"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建筑物重置价格（元/M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753 </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成新率</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78%</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维修费</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7.53 </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管理费</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3.33</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保险费</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1.17</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年税费</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38.23</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装饰、家具及设备折旧</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三、年净收益</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171.78 </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四、报酬率及收益年限</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上涨率</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报酬率</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5.80%</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收益年限</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39.00 </w:t>
            </w:r>
          </w:p>
        </w:tc>
      </w:tr>
      <w:tr>
        <w:tblPrEx>
          <w:tblLayout w:type="fixed"/>
          <w:tblCellMar>
            <w:top w:w="0" w:type="dxa"/>
            <w:left w:w="0" w:type="dxa"/>
            <w:bottom w:w="0" w:type="dxa"/>
            <w:right w:w="0" w:type="dxa"/>
          </w:tblCellMar>
        </w:tblPrEx>
        <w:trPr>
          <w:trHeight w:val="24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五、房地产价值</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Layout w:type="fixed"/>
          <w:tblCellMar>
            <w:top w:w="0" w:type="dxa"/>
            <w:left w:w="0" w:type="dxa"/>
            <w:bottom w:w="0" w:type="dxa"/>
            <w:right w:w="0" w:type="dxa"/>
          </w:tblCellMar>
        </w:tblPrEx>
        <w:trPr>
          <w:trHeight w:val="300" w:hRule="atLeast"/>
        </w:trPr>
        <w:tc>
          <w:tcPr>
            <w:tcW w:w="61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房地产单价（元/M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2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5502</w:t>
            </w:r>
          </w:p>
        </w:tc>
      </w:tr>
    </w:tbl>
    <w:p>
      <w:pPr>
        <w:widowControl/>
        <w:spacing w:line="400" w:lineRule="exact"/>
        <w:rPr>
          <w:rFonts w:hint="eastAsia" w:ascii="宋体" w:hAnsi="宋体" w:cs="宋体"/>
          <w:spacing w:val="10"/>
          <w:sz w:val="24"/>
          <w:szCs w:val="24"/>
        </w:rPr>
      </w:pPr>
      <w:r>
        <w:rPr>
          <w:rFonts w:hint="eastAsia" w:ascii="宋体" w:hAnsi="宋体" w:cs="宋体"/>
          <w:spacing w:val="10"/>
          <w:sz w:val="24"/>
          <w:szCs w:val="24"/>
        </w:rPr>
        <w:t>估价对象</w:t>
      </w: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01幢101号）</w:t>
      </w:r>
      <w:r>
        <w:rPr>
          <w:rFonts w:hint="eastAsia" w:ascii="宋体" w:hAnsi="宋体" w:cs="宋体"/>
          <w:spacing w:val="10"/>
          <w:sz w:val="24"/>
          <w:szCs w:val="24"/>
        </w:rPr>
        <w:t>的商业房地产单价</w:t>
      </w:r>
      <w:r>
        <w:rPr>
          <w:rFonts w:ascii="宋体" w:hAnsi="宋体" w:cs="宋体"/>
          <w:spacing w:val="10"/>
          <w:sz w:val="24"/>
          <w:szCs w:val="24"/>
        </w:rPr>
        <w:t>=</w:t>
      </w:r>
      <w:r>
        <w:rPr>
          <w:rFonts w:hint="eastAsia" w:ascii="宋体" w:hAnsi="宋体" w:cs="宋体"/>
          <w:spacing w:val="10"/>
          <w:sz w:val="24"/>
          <w:szCs w:val="24"/>
          <w:lang w:val="en-US" w:eastAsia="zh-CN"/>
        </w:rPr>
        <w:t>11189</w:t>
      </w:r>
      <w:r>
        <w:rPr>
          <w:rFonts w:hint="eastAsia" w:ascii="宋体" w:hAnsi="宋体" w:cs="宋体"/>
          <w:spacing w:val="10"/>
          <w:sz w:val="24"/>
          <w:szCs w:val="24"/>
        </w:rPr>
        <w:t>元</w:t>
      </w:r>
      <w:r>
        <w:rPr>
          <w:rFonts w:ascii="宋体" w:hAnsi="宋体" w:cs="宋体"/>
          <w:spacing w:val="10"/>
          <w:sz w:val="24"/>
          <w:szCs w:val="24"/>
        </w:rPr>
        <w:t>/</w:t>
      </w:r>
      <w:r>
        <w:rPr>
          <w:rFonts w:hint="eastAsia" w:ascii="宋体" w:hAnsi="宋体" w:cs="宋体"/>
          <w:spacing w:val="10"/>
          <w:sz w:val="24"/>
          <w:szCs w:val="24"/>
        </w:rPr>
        <w:t>平方米</w:t>
      </w:r>
    </w:p>
    <w:p>
      <w:pPr>
        <w:widowControl/>
        <w:spacing w:line="400" w:lineRule="exact"/>
        <w:rPr>
          <w:rFonts w:hint="default" w:ascii="宋体" w:hAnsi="宋体" w:eastAsia="宋体" w:cs="宋体"/>
          <w:spacing w:val="10"/>
          <w:sz w:val="24"/>
          <w:szCs w:val="24"/>
          <w:lang w:val="en-US" w:eastAsia="zh-CN"/>
        </w:rPr>
      </w:pPr>
      <w:r>
        <w:rPr>
          <w:rFonts w:hint="eastAsia" w:ascii="宋体" w:hAnsi="宋体" w:cs="宋体"/>
          <w:spacing w:val="10"/>
          <w:sz w:val="24"/>
          <w:szCs w:val="24"/>
          <w:lang w:eastAsia="zh-CN"/>
        </w:rPr>
        <w:t>估价对象（</w:t>
      </w:r>
      <w:r>
        <w:rPr>
          <w:rFonts w:hint="eastAsia" w:ascii="宋体" w:hAnsi="宋体" w:cs="宋体"/>
          <w:spacing w:val="10"/>
          <w:sz w:val="24"/>
          <w:szCs w:val="24"/>
          <w:lang w:val="en-US" w:eastAsia="zh-CN"/>
        </w:rPr>
        <w:t>02幢104、105号）的商业房地产单价=5502</w:t>
      </w:r>
      <w:r>
        <w:rPr>
          <w:rFonts w:hint="eastAsia" w:ascii="宋体" w:hAnsi="宋体" w:cs="宋体"/>
          <w:spacing w:val="10"/>
          <w:sz w:val="24"/>
          <w:szCs w:val="24"/>
        </w:rPr>
        <w:t>元</w:t>
      </w:r>
      <w:r>
        <w:rPr>
          <w:rFonts w:ascii="宋体" w:hAnsi="宋体" w:cs="宋体"/>
          <w:spacing w:val="10"/>
          <w:sz w:val="24"/>
          <w:szCs w:val="24"/>
        </w:rPr>
        <w:t>/</w:t>
      </w:r>
      <w:r>
        <w:rPr>
          <w:rFonts w:hint="eastAsia" w:ascii="宋体" w:hAnsi="宋体" w:cs="宋体"/>
          <w:spacing w:val="10"/>
          <w:sz w:val="24"/>
          <w:szCs w:val="24"/>
        </w:rPr>
        <w:t>平方米</w:t>
      </w:r>
    </w:p>
    <w:p>
      <w:pPr>
        <w:widowControl/>
        <w:spacing w:line="360" w:lineRule="auto"/>
        <w:rPr>
          <w:rFonts w:ascii="宋体"/>
          <w:b/>
          <w:bCs/>
          <w:spacing w:val="10"/>
          <w:sz w:val="24"/>
          <w:szCs w:val="24"/>
        </w:rPr>
      </w:pPr>
      <w:r>
        <w:rPr>
          <w:rFonts w:hint="eastAsia" w:ascii="宋体" w:hAnsi="宋体" w:cs="宋体"/>
          <w:b/>
          <w:bCs/>
          <w:spacing w:val="10"/>
          <w:sz w:val="24"/>
          <w:szCs w:val="24"/>
        </w:rPr>
        <w:t>（</w:t>
      </w:r>
      <w:r>
        <w:rPr>
          <w:rFonts w:hint="eastAsia" w:ascii="宋体" w:hAnsi="宋体" w:cs="宋体"/>
          <w:b/>
          <w:bCs/>
          <w:spacing w:val="10"/>
          <w:sz w:val="24"/>
          <w:szCs w:val="24"/>
          <w:lang w:eastAsia="zh-CN"/>
        </w:rPr>
        <w:t>二</w:t>
      </w:r>
      <w:r>
        <w:rPr>
          <w:rFonts w:hint="eastAsia" w:ascii="宋体" w:hAnsi="宋体" w:cs="宋体"/>
          <w:b/>
          <w:bCs/>
          <w:spacing w:val="10"/>
          <w:sz w:val="24"/>
          <w:szCs w:val="24"/>
        </w:rPr>
        <w:t>）</w:t>
      </w:r>
      <w:r>
        <w:rPr>
          <w:rFonts w:hint="eastAsia" w:ascii="宋体" w:hAnsi="宋体" w:cs="宋体"/>
          <w:b/>
          <w:bCs/>
          <w:spacing w:val="10"/>
          <w:sz w:val="24"/>
          <w:szCs w:val="24"/>
          <w:lang w:eastAsia="zh-CN"/>
        </w:rPr>
        <w:t>比较</w:t>
      </w:r>
      <w:r>
        <w:rPr>
          <w:rFonts w:hint="eastAsia" w:ascii="宋体" w:hAnsi="宋体" w:cs="宋体"/>
          <w:b/>
          <w:bCs/>
          <w:spacing w:val="10"/>
          <w:sz w:val="24"/>
          <w:szCs w:val="24"/>
        </w:rPr>
        <w:t>法测算</w:t>
      </w:r>
      <w:r>
        <w:rPr>
          <w:rFonts w:hint="eastAsia" w:ascii="宋体" w:hAnsi="宋体" w:cs="宋体"/>
          <w:b/>
          <w:bCs/>
          <w:spacing w:val="10"/>
          <w:sz w:val="24"/>
          <w:szCs w:val="24"/>
          <w:lang w:val="en-US" w:eastAsia="zh-CN"/>
        </w:rPr>
        <w:t>01幢305号、02幢305、306号住宅</w:t>
      </w:r>
      <w:r>
        <w:rPr>
          <w:rFonts w:hint="eastAsia" w:ascii="宋体" w:hAnsi="宋体" w:cs="宋体"/>
          <w:b/>
          <w:bCs/>
          <w:spacing w:val="10"/>
          <w:sz w:val="24"/>
          <w:szCs w:val="24"/>
        </w:rPr>
        <w:t>用房价格</w:t>
      </w:r>
    </w:p>
    <w:p>
      <w:pPr>
        <w:widowControl/>
        <w:spacing w:line="400" w:lineRule="exact"/>
        <w:ind w:left="2" w:leftChars="1" w:firstLine="520" w:firstLineChars="200"/>
        <w:rPr>
          <w:rFonts w:ascii="宋体"/>
          <w:spacing w:val="10"/>
          <w:sz w:val="24"/>
          <w:highlight w:val="none"/>
        </w:rPr>
      </w:pPr>
      <w:r>
        <w:rPr>
          <w:rFonts w:ascii="宋体" w:hAnsi="宋体"/>
          <w:spacing w:val="10"/>
          <w:sz w:val="24"/>
          <w:highlight w:val="none"/>
        </w:rPr>
        <w:t>1.</w:t>
      </w:r>
      <w:r>
        <w:rPr>
          <w:rFonts w:hint="eastAsia" w:ascii="宋体" w:hAnsi="宋体"/>
          <w:spacing w:val="10"/>
          <w:sz w:val="24"/>
          <w:highlight w:val="none"/>
        </w:rPr>
        <w:t>比较法适用于同种类型的数量较多且在价值时点的近期有较多的类似房地产的交易的房地产。首先遵循比较法可比实例的选取原则，根据估价人员掌握的房地产交易市场资料，在估价对象同一供求圈内选择三个与估价对象区位、用途、权利性质、档次、新旧程度、规模、建筑结构同或相似的近期交易实例作为可比实例，对影响价格的各项因素及其影响程度进行分析，建立估价对象与可比实例的价格可比基础，并分别进行交易情况修正、市场状况调整、房地产状况调整，求取估价对象房地产的比准价格。</w:t>
      </w:r>
    </w:p>
    <w:p>
      <w:pPr>
        <w:widowControl/>
        <w:spacing w:line="420" w:lineRule="exact"/>
        <w:ind w:firstLine="520" w:firstLineChars="200"/>
        <w:rPr>
          <w:rFonts w:ascii="宋体"/>
          <w:spacing w:val="10"/>
          <w:sz w:val="24"/>
          <w:highlight w:val="none"/>
        </w:rPr>
      </w:pPr>
      <w:r>
        <w:rPr>
          <w:rFonts w:ascii="宋体" w:hAnsi="宋体"/>
          <w:spacing w:val="10"/>
          <w:sz w:val="24"/>
          <w:highlight w:val="none"/>
        </w:rPr>
        <w:t>2.</w:t>
      </w:r>
      <w:r>
        <w:rPr>
          <w:rFonts w:hint="eastAsia" w:ascii="宋体" w:hAnsi="宋体"/>
          <w:spacing w:val="10"/>
          <w:sz w:val="24"/>
          <w:highlight w:val="none"/>
        </w:rPr>
        <w:t>估价技术路线为：首先遵循比较法可比实例的选取原则，根据估价人员掌握的房地产交易市场资料，在估价对象同一供求圈内选择三个与估价对象用途、规模、档次、建筑结构相同或相似的近期租金实例作为可比实例，对影响价格的各项因素及其影响程度进行分析，建立估价对象与可比实例的价格可比基础，并分别进行交易情况修正、市场状况调整、市场状况调整，求取估价对象房地产的比准价格。</w:t>
      </w:r>
    </w:p>
    <w:p>
      <w:pPr>
        <w:spacing w:line="420" w:lineRule="exact"/>
        <w:ind w:left="2361" w:leftChars="269" w:hanging="1796" w:hangingChars="691"/>
        <w:rPr>
          <w:rFonts w:ascii="宋体"/>
          <w:spacing w:val="10"/>
          <w:sz w:val="24"/>
          <w:highlight w:val="none"/>
        </w:rPr>
      </w:pPr>
      <w:r>
        <w:rPr>
          <w:rFonts w:hint="eastAsia" w:ascii="宋体" w:hAnsi="宋体"/>
          <w:spacing w:val="10"/>
          <w:sz w:val="24"/>
          <w:highlight w:val="none"/>
        </w:rPr>
        <w:t>公式：估价对象价格</w:t>
      </w:r>
      <w:r>
        <w:rPr>
          <w:rFonts w:ascii="宋体" w:hAnsi="宋体"/>
          <w:spacing w:val="10"/>
          <w:sz w:val="24"/>
          <w:highlight w:val="none"/>
        </w:rPr>
        <w:t>=</w:t>
      </w:r>
      <w:r>
        <w:rPr>
          <w:rFonts w:hint="eastAsia" w:ascii="宋体" w:hAnsi="宋体"/>
          <w:spacing w:val="10"/>
          <w:sz w:val="24"/>
          <w:highlight w:val="none"/>
        </w:rPr>
        <w:t>可比实例价格×交易情况修正系数×市场状况调整系数×房地产状况调整系数</w:t>
      </w:r>
    </w:p>
    <w:p>
      <w:pPr>
        <w:widowControl/>
        <w:spacing w:line="440" w:lineRule="exact"/>
        <w:ind w:firstLine="520" w:firstLineChars="200"/>
        <w:rPr>
          <w:rFonts w:ascii="宋体"/>
          <w:spacing w:val="10"/>
          <w:sz w:val="24"/>
          <w:highlight w:val="none"/>
        </w:rPr>
      </w:pPr>
      <w:r>
        <w:rPr>
          <w:rFonts w:hint="eastAsia" w:ascii="宋体" w:hAnsi="宋体"/>
          <w:spacing w:val="10"/>
          <w:sz w:val="24"/>
          <w:highlight w:val="none"/>
        </w:rPr>
        <w:t>比较实例的选择</w:t>
      </w:r>
    </w:p>
    <w:p>
      <w:pPr>
        <w:widowControl/>
        <w:spacing w:line="440" w:lineRule="exact"/>
        <w:ind w:firstLine="520" w:firstLineChars="200"/>
        <w:rPr>
          <w:rFonts w:ascii="宋体"/>
          <w:spacing w:val="10"/>
          <w:sz w:val="24"/>
          <w:highlight w:val="none"/>
        </w:rPr>
      </w:pPr>
      <w:r>
        <w:rPr>
          <w:rFonts w:hint="eastAsia" w:ascii="宋体" w:hAnsi="宋体"/>
          <w:spacing w:val="10"/>
          <w:sz w:val="24"/>
          <w:highlight w:val="none"/>
        </w:rPr>
        <w:t>经估价人员对周边类似房地产调查并结合估价对象的实际情况，从中筛选出以下与估价对象类似程度最高的可比实例如下：</w:t>
      </w:r>
    </w:p>
    <w:p>
      <w:pPr>
        <w:widowControl/>
        <w:spacing w:line="440" w:lineRule="exact"/>
        <w:ind w:firstLine="520" w:firstLineChars="200"/>
        <w:rPr>
          <w:rFonts w:ascii="宋体"/>
          <w:spacing w:val="10"/>
          <w:sz w:val="24"/>
          <w:highlight w:val="none"/>
        </w:rPr>
      </w:pPr>
      <w:r>
        <w:rPr>
          <w:rFonts w:ascii="宋体" w:hAnsi="宋体"/>
          <w:spacing w:val="10"/>
          <w:sz w:val="24"/>
          <w:highlight w:val="none"/>
        </w:rPr>
        <w:t>A</w:t>
      </w:r>
      <w:r>
        <w:rPr>
          <w:rFonts w:hint="eastAsia" w:ascii="宋体" w:hAnsi="宋体"/>
          <w:spacing w:val="10"/>
          <w:sz w:val="24"/>
          <w:highlight w:val="none"/>
        </w:rPr>
        <w:t>、可比实例</w:t>
      </w:r>
      <w:r>
        <w:rPr>
          <w:rFonts w:ascii="宋体" w:hAnsi="宋体"/>
          <w:spacing w:val="10"/>
          <w:sz w:val="24"/>
          <w:highlight w:val="none"/>
        </w:rPr>
        <w:t>A</w:t>
      </w:r>
      <w:r>
        <w:rPr>
          <w:rFonts w:hint="eastAsia" w:ascii="宋体" w:hAnsi="宋体"/>
          <w:spacing w:val="10"/>
          <w:sz w:val="24"/>
          <w:highlight w:val="none"/>
        </w:rPr>
        <w:t>：和安家园，位于</w:t>
      </w:r>
      <w:r>
        <w:rPr>
          <w:rFonts w:hint="eastAsia" w:ascii="宋体" w:hAnsi="宋体"/>
          <w:spacing w:val="10"/>
          <w:sz w:val="24"/>
          <w:highlight w:val="none"/>
          <w:lang w:eastAsia="zh-CN"/>
        </w:rPr>
        <w:t>中方工业园区</w:t>
      </w:r>
      <w:r>
        <w:rPr>
          <w:rFonts w:hint="eastAsia" w:ascii="宋体" w:hAnsi="宋体"/>
          <w:spacing w:val="10"/>
          <w:sz w:val="24"/>
          <w:highlight w:val="none"/>
        </w:rPr>
        <w:t>，</w:t>
      </w:r>
      <w:r>
        <w:rPr>
          <w:rFonts w:hint="eastAsia" w:ascii="宋体" w:hAnsi="宋体"/>
          <w:spacing w:val="10"/>
          <w:sz w:val="24"/>
          <w:highlight w:val="none"/>
          <w:lang w:eastAsia="zh-CN"/>
        </w:rPr>
        <w:t>混合</w:t>
      </w:r>
      <w:r>
        <w:rPr>
          <w:rFonts w:hint="eastAsia" w:ascii="宋体" w:hAnsi="宋体"/>
          <w:spacing w:val="10"/>
          <w:sz w:val="24"/>
          <w:highlight w:val="none"/>
        </w:rPr>
        <w:t>结构，建成于</w:t>
      </w:r>
      <w:r>
        <w:rPr>
          <w:rFonts w:hint="eastAsia" w:ascii="宋体" w:hAnsi="宋体"/>
          <w:spacing w:val="10"/>
          <w:sz w:val="24"/>
          <w:highlight w:val="none"/>
          <w:lang w:val="en-US" w:eastAsia="zh-CN"/>
        </w:rPr>
        <w:t>2010</w:t>
      </w:r>
      <w:r>
        <w:rPr>
          <w:rFonts w:hint="eastAsia" w:ascii="宋体" w:hAnsi="宋体"/>
          <w:spacing w:val="10"/>
          <w:sz w:val="24"/>
          <w:highlight w:val="none"/>
        </w:rPr>
        <w:t>年，建筑面积为</w:t>
      </w:r>
      <w:r>
        <w:rPr>
          <w:rFonts w:hint="eastAsia" w:ascii="宋体" w:hAnsi="宋体"/>
          <w:spacing w:val="10"/>
          <w:sz w:val="24"/>
          <w:highlight w:val="none"/>
          <w:lang w:val="en-US" w:eastAsia="zh-CN"/>
        </w:rPr>
        <w:t>128</w:t>
      </w:r>
      <w:r>
        <w:rPr>
          <w:rFonts w:hint="eastAsia" w:ascii="宋体" w:hAnsi="宋体"/>
          <w:spacing w:val="10"/>
          <w:sz w:val="24"/>
          <w:highlight w:val="none"/>
        </w:rPr>
        <w:t>平方米，位于第</w:t>
      </w:r>
      <w:r>
        <w:rPr>
          <w:rFonts w:hint="eastAsia" w:ascii="宋体" w:hAnsi="宋体"/>
          <w:spacing w:val="10"/>
          <w:sz w:val="24"/>
          <w:highlight w:val="none"/>
          <w:lang w:val="en-US" w:eastAsia="zh-CN"/>
        </w:rPr>
        <w:t>3</w:t>
      </w:r>
      <w:r>
        <w:rPr>
          <w:rFonts w:hint="eastAsia" w:ascii="宋体" w:hAnsi="宋体"/>
          <w:spacing w:val="10"/>
          <w:sz w:val="24"/>
          <w:highlight w:val="none"/>
        </w:rPr>
        <w:t>层，</w:t>
      </w:r>
      <w:r>
        <w:rPr>
          <w:rFonts w:hint="eastAsia" w:ascii="宋体" w:hAnsi="宋体"/>
          <w:spacing w:val="10"/>
          <w:sz w:val="24"/>
          <w:highlight w:val="none"/>
          <w:lang w:eastAsia="zh-CN"/>
        </w:rPr>
        <w:t>简装</w:t>
      </w:r>
      <w:r>
        <w:rPr>
          <w:rFonts w:hint="eastAsia" w:ascii="宋体" w:hAnsi="宋体"/>
          <w:spacing w:val="10"/>
          <w:sz w:val="24"/>
          <w:highlight w:val="none"/>
        </w:rPr>
        <w:t>，2019年0</w:t>
      </w:r>
      <w:r>
        <w:rPr>
          <w:rFonts w:hint="eastAsia" w:ascii="宋体" w:hAnsi="宋体"/>
          <w:spacing w:val="10"/>
          <w:sz w:val="24"/>
          <w:highlight w:val="none"/>
          <w:lang w:val="en-US" w:eastAsia="zh-CN"/>
        </w:rPr>
        <w:t>2</w:t>
      </w:r>
      <w:r>
        <w:rPr>
          <w:rFonts w:hint="eastAsia" w:ascii="宋体" w:hAnsi="宋体"/>
          <w:spacing w:val="10"/>
          <w:sz w:val="24"/>
          <w:highlight w:val="none"/>
        </w:rPr>
        <w:t>月的交易报价为</w:t>
      </w:r>
      <w:r>
        <w:rPr>
          <w:rFonts w:hint="eastAsia" w:ascii="宋体" w:hAnsi="宋体"/>
          <w:spacing w:val="10"/>
          <w:sz w:val="24"/>
          <w:highlight w:val="none"/>
          <w:lang w:val="en-US" w:eastAsia="zh-CN"/>
        </w:rPr>
        <w:t>2718</w:t>
      </w:r>
      <w:r>
        <w:rPr>
          <w:rFonts w:hint="eastAsia" w:ascii="宋体" w:hAnsi="宋体"/>
          <w:spacing w:val="10"/>
          <w:sz w:val="24"/>
          <w:highlight w:val="none"/>
        </w:rPr>
        <w:t>元</w:t>
      </w:r>
      <w:r>
        <w:rPr>
          <w:rFonts w:ascii="宋体" w:hAnsi="宋体"/>
          <w:spacing w:val="10"/>
          <w:sz w:val="24"/>
          <w:highlight w:val="none"/>
        </w:rPr>
        <w:t>/</w:t>
      </w:r>
      <w:r>
        <w:rPr>
          <w:rFonts w:hint="eastAsia" w:ascii="宋体" w:hAnsi="宋体"/>
          <w:spacing w:val="10"/>
          <w:sz w:val="24"/>
          <w:highlight w:val="none"/>
        </w:rPr>
        <w:t>平方米；</w:t>
      </w:r>
    </w:p>
    <w:p>
      <w:pPr>
        <w:widowControl/>
        <w:spacing w:line="440" w:lineRule="exact"/>
        <w:ind w:firstLine="520" w:firstLineChars="200"/>
        <w:rPr>
          <w:rFonts w:ascii="宋体"/>
          <w:spacing w:val="10"/>
          <w:sz w:val="24"/>
          <w:highlight w:val="none"/>
        </w:rPr>
      </w:pPr>
      <w:r>
        <w:rPr>
          <w:rFonts w:ascii="宋体" w:hAnsi="宋体"/>
          <w:spacing w:val="10"/>
          <w:sz w:val="24"/>
          <w:highlight w:val="none"/>
        </w:rPr>
        <w:t>B</w:t>
      </w:r>
      <w:r>
        <w:rPr>
          <w:rFonts w:hint="eastAsia" w:ascii="宋体" w:hAnsi="宋体"/>
          <w:spacing w:val="10"/>
          <w:sz w:val="24"/>
          <w:highlight w:val="none"/>
        </w:rPr>
        <w:t>、可比实例</w:t>
      </w:r>
      <w:r>
        <w:rPr>
          <w:rFonts w:ascii="宋体" w:hAnsi="宋体"/>
          <w:spacing w:val="10"/>
          <w:sz w:val="24"/>
          <w:highlight w:val="none"/>
        </w:rPr>
        <w:t>B</w:t>
      </w:r>
      <w:r>
        <w:rPr>
          <w:rFonts w:hint="eastAsia" w:ascii="宋体" w:hAnsi="宋体"/>
          <w:spacing w:val="10"/>
          <w:sz w:val="24"/>
          <w:highlight w:val="none"/>
        </w:rPr>
        <w:t>：广富欣城，位于</w:t>
      </w:r>
      <w:r>
        <w:rPr>
          <w:rFonts w:hint="eastAsia" w:ascii="宋体" w:hAnsi="宋体"/>
          <w:spacing w:val="10"/>
          <w:sz w:val="24"/>
          <w:highlight w:val="none"/>
          <w:lang w:eastAsia="zh-CN"/>
        </w:rPr>
        <w:t>中方工业园区</w:t>
      </w:r>
      <w:r>
        <w:rPr>
          <w:rFonts w:hint="eastAsia" w:ascii="宋体" w:hAnsi="宋体"/>
          <w:spacing w:val="10"/>
          <w:sz w:val="24"/>
          <w:highlight w:val="none"/>
        </w:rPr>
        <w:t>，</w:t>
      </w:r>
      <w:r>
        <w:rPr>
          <w:rFonts w:hint="eastAsia" w:ascii="宋体" w:hAnsi="宋体"/>
          <w:spacing w:val="10"/>
          <w:sz w:val="24"/>
          <w:highlight w:val="none"/>
          <w:lang w:eastAsia="zh-CN"/>
        </w:rPr>
        <w:t>混合</w:t>
      </w:r>
      <w:r>
        <w:rPr>
          <w:rFonts w:hint="eastAsia" w:ascii="宋体" w:hAnsi="宋体"/>
          <w:spacing w:val="10"/>
          <w:sz w:val="24"/>
          <w:highlight w:val="none"/>
        </w:rPr>
        <w:t>结构，建成于2012年，建筑面积为</w:t>
      </w:r>
      <w:r>
        <w:rPr>
          <w:rFonts w:hint="eastAsia" w:ascii="宋体" w:hAnsi="宋体"/>
          <w:spacing w:val="10"/>
          <w:sz w:val="24"/>
          <w:highlight w:val="none"/>
          <w:lang w:val="en-US" w:eastAsia="zh-CN"/>
        </w:rPr>
        <w:t>139</w:t>
      </w:r>
      <w:r>
        <w:rPr>
          <w:rFonts w:hint="eastAsia" w:ascii="宋体" w:hAnsi="宋体"/>
          <w:spacing w:val="10"/>
          <w:sz w:val="24"/>
          <w:highlight w:val="none"/>
        </w:rPr>
        <w:t>方米，位于第</w:t>
      </w:r>
      <w:r>
        <w:rPr>
          <w:rFonts w:hint="eastAsia" w:ascii="宋体" w:hAnsi="宋体"/>
          <w:spacing w:val="10"/>
          <w:sz w:val="24"/>
          <w:highlight w:val="none"/>
          <w:lang w:val="en-US" w:eastAsia="zh-CN"/>
        </w:rPr>
        <w:t>3</w:t>
      </w:r>
      <w:r>
        <w:rPr>
          <w:rFonts w:hint="eastAsia" w:ascii="宋体" w:hAnsi="宋体"/>
          <w:spacing w:val="10"/>
          <w:sz w:val="24"/>
          <w:highlight w:val="none"/>
        </w:rPr>
        <w:t>层，毛坯，2019年0</w:t>
      </w:r>
      <w:r>
        <w:rPr>
          <w:rFonts w:hint="eastAsia" w:ascii="宋体" w:hAnsi="宋体"/>
          <w:spacing w:val="10"/>
          <w:sz w:val="24"/>
          <w:highlight w:val="none"/>
          <w:lang w:val="en-US" w:eastAsia="zh-CN"/>
        </w:rPr>
        <w:t>2</w:t>
      </w:r>
      <w:r>
        <w:rPr>
          <w:rFonts w:hint="eastAsia" w:ascii="宋体" w:hAnsi="宋体"/>
          <w:spacing w:val="10"/>
          <w:sz w:val="24"/>
          <w:highlight w:val="none"/>
        </w:rPr>
        <w:t>月的交易报价为</w:t>
      </w:r>
      <w:r>
        <w:rPr>
          <w:rFonts w:hint="eastAsia" w:ascii="宋体" w:hAnsi="宋体"/>
          <w:spacing w:val="10"/>
          <w:sz w:val="24"/>
          <w:highlight w:val="none"/>
          <w:lang w:val="en-US" w:eastAsia="zh-CN"/>
        </w:rPr>
        <w:t>2575</w:t>
      </w:r>
      <w:r>
        <w:rPr>
          <w:rFonts w:hint="eastAsia" w:ascii="宋体" w:hAnsi="宋体"/>
          <w:spacing w:val="10"/>
          <w:sz w:val="24"/>
          <w:highlight w:val="none"/>
        </w:rPr>
        <w:t>元</w:t>
      </w:r>
      <w:r>
        <w:rPr>
          <w:rFonts w:ascii="宋体" w:hAnsi="宋体"/>
          <w:spacing w:val="10"/>
          <w:sz w:val="24"/>
          <w:highlight w:val="none"/>
        </w:rPr>
        <w:t>/</w:t>
      </w:r>
      <w:r>
        <w:rPr>
          <w:rFonts w:hint="eastAsia" w:ascii="宋体" w:hAnsi="宋体"/>
          <w:spacing w:val="10"/>
          <w:sz w:val="24"/>
          <w:highlight w:val="none"/>
        </w:rPr>
        <w:t>平方米；</w:t>
      </w:r>
    </w:p>
    <w:p>
      <w:pPr>
        <w:widowControl/>
        <w:spacing w:line="440" w:lineRule="exact"/>
        <w:ind w:firstLine="520" w:firstLineChars="200"/>
        <w:rPr>
          <w:rFonts w:hint="eastAsia" w:ascii="宋体" w:hAnsi="宋体"/>
          <w:spacing w:val="10"/>
          <w:sz w:val="24"/>
          <w:highlight w:val="none"/>
        </w:rPr>
      </w:pPr>
      <w:r>
        <w:rPr>
          <w:rFonts w:ascii="宋体" w:hAnsi="宋体"/>
          <w:spacing w:val="10"/>
          <w:sz w:val="24"/>
          <w:highlight w:val="none"/>
        </w:rPr>
        <w:t>C</w:t>
      </w:r>
      <w:r>
        <w:rPr>
          <w:rFonts w:hint="eastAsia" w:ascii="宋体" w:hAnsi="宋体"/>
          <w:spacing w:val="10"/>
          <w:sz w:val="24"/>
          <w:highlight w:val="none"/>
        </w:rPr>
        <w:t>、可比实例</w:t>
      </w:r>
      <w:r>
        <w:rPr>
          <w:rFonts w:ascii="宋体" w:hAnsi="宋体"/>
          <w:spacing w:val="10"/>
          <w:sz w:val="24"/>
          <w:highlight w:val="none"/>
        </w:rPr>
        <w:t>C</w:t>
      </w:r>
      <w:r>
        <w:rPr>
          <w:rFonts w:hint="eastAsia" w:ascii="宋体" w:hAnsi="宋体"/>
          <w:spacing w:val="10"/>
          <w:sz w:val="24"/>
          <w:highlight w:val="none"/>
        </w:rPr>
        <w:t>：世景华庭，位于</w:t>
      </w:r>
      <w:r>
        <w:rPr>
          <w:rFonts w:hint="eastAsia" w:ascii="宋体" w:hAnsi="宋体"/>
          <w:spacing w:val="10"/>
          <w:sz w:val="24"/>
          <w:highlight w:val="none"/>
          <w:lang w:eastAsia="zh-CN"/>
        </w:rPr>
        <w:t>中方工业园区</w:t>
      </w:r>
      <w:r>
        <w:rPr>
          <w:rFonts w:hint="eastAsia" w:ascii="宋体" w:hAnsi="宋体"/>
          <w:spacing w:val="10"/>
          <w:sz w:val="24"/>
          <w:highlight w:val="none"/>
        </w:rPr>
        <w:t>，</w:t>
      </w:r>
      <w:r>
        <w:rPr>
          <w:rFonts w:hint="eastAsia" w:ascii="宋体" w:hAnsi="宋体"/>
          <w:spacing w:val="10"/>
          <w:sz w:val="24"/>
          <w:highlight w:val="none"/>
          <w:lang w:eastAsia="zh-CN"/>
        </w:rPr>
        <w:t>混合</w:t>
      </w:r>
      <w:r>
        <w:rPr>
          <w:rFonts w:hint="eastAsia" w:ascii="宋体" w:hAnsi="宋体"/>
          <w:spacing w:val="10"/>
          <w:sz w:val="24"/>
          <w:highlight w:val="none"/>
        </w:rPr>
        <w:t>结构，建成于2010年，建筑面积为</w:t>
      </w:r>
      <w:r>
        <w:rPr>
          <w:rFonts w:hint="eastAsia" w:ascii="宋体" w:hAnsi="宋体"/>
          <w:spacing w:val="10"/>
          <w:sz w:val="24"/>
          <w:highlight w:val="none"/>
          <w:lang w:val="en-US" w:eastAsia="zh-CN"/>
        </w:rPr>
        <w:t>133</w:t>
      </w:r>
      <w:r>
        <w:rPr>
          <w:rFonts w:hint="eastAsia" w:ascii="宋体" w:hAnsi="宋体"/>
          <w:spacing w:val="10"/>
          <w:sz w:val="24"/>
          <w:highlight w:val="none"/>
        </w:rPr>
        <w:t>平</w:t>
      </w:r>
      <w:r>
        <w:rPr>
          <w:rFonts w:hint="eastAsia" w:ascii="宋体" w:hAnsi="宋体"/>
          <w:color w:val="000000"/>
          <w:spacing w:val="10"/>
          <w:sz w:val="24"/>
          <w:highlight w:val="none"/>
        </w:rPr>
        <w:t>方米，</w:t>
      </w:r>
      <w:r>
        <w:rPr>
          <w:rFonts w:hint="eastAsia" w:ascii="宋体" w:hAnsi="宋体"/>
          <w:spacing w:val="10"/>
          <w:sz w:val="24"/>
          <w:highlight w:val="none"/>
        </w:rPr>
        <w:t>位于第</w:t>
      </w:r>
      <w:r>
        <w:rPr>
          <w:rFonts w:hint="eastAsia" w:ascii="宋体" w:hAnsi="宋体"/>
          <w:spacing w:val="10"/>
          <w:sz w:val="24"/>
          <w:highlight w:val="none"/>
          <w:lang w:val="en-US" w:eastAsia="zh-CN"/>
        </w:rPr>
        <w:t>3</w:t>
      </w:r>
      <w:r>
        <w:rPr>
          <w:rFonts w:hint="eastAsia" w:ascii="宋体" w:hAnsi="宋体"/>
          <w:spacing w:val="10"/>
          <w:sz w:val="24"/>
          <w:highlight w:val="none"/>
        </w:rPr>
        <w:t>层，</w:t>
      </w:r>
      <w:r>
        <w:rPr>
          <w:rFonts w:hint="eastAsia" w:ascii="宋体" w:hAnsi="宋体"/>
          <w:spacing w:val="10"/>
          <w:sz w:val="24"/>
          <w:highlight w:val="none"/>
          <w:lang w:eastAsia="zh-CN"/>
        </w:rPr>
        <w:t>毛坯</w:t>
      </w:r>
      <w:r>
        <w:rPr>
          <w:rFonts w:hint="eastAsia" w:ascii="宋体" w:hAnsi="宋体"/>
          <w:spacing w:val="10"/>
          <w:sz w:val="24"/>
          <w:highlight w:val="none"/>
        </w:rPr>
        <w:t>，2019年0</w:t>
      </w:r>
      <w:r>
        <w:rPr>
          <w:rFonts w:hint="eastAsia" w:ascii="宋体" w:hAnsi="宋体"/>
          <w:spacing w:val="10"/>
          <w:sz w:val="24"/>
          <w:highlight w:val="none"/>
          <w:lang w:val="en-US" w:eastAsia="zh-CN"/>
        </w:rPr>
        <w:t>2</w:t>
      </w:r>
      <w:r>
        <w:rPr>
          <w:rFonts w:hint="eastAsia" w:ascii="宋体" w:hAnsi="宋体"/>
          <w:spacing w:val="10"/>
          <w:sz w:val="24"/>
          <w:highlight w:val="none"/>
        </w:rPr>
        <w:t>月的交易报价为</w:t>
      </w:r>
      <w:r>
        <w:rPr>
          <w:rFonts w:hint="eastAsia" w:ascii="宋体" w:hAnsi="宋体"/>
          <w:spacing w:val="10"/>
          <w:sz w:val="24"/>
          <w:highlight w:val="none"/>
          <w:lang w:val="en-US" w:eastAsia="zh-CN"/>
        </w:rPr>
        <w:t>2691</w:t>
      </w:r>
      <w:r>
        <w:rPr>
          <w:rFonts w:hint="eastAsia" w:ascii="宋体" w:hAnsi="宋体"/>
          <w:spacing w:val="10"/>
          <w:sz w:val="24"/>
          <w:highlight w:val="none"/>
        </w:rPr>
        <w:t>元</w:t>
      </w:r>
      <w:r>
        <w:rPr>
          <w:rFonts w:ascii="宋体" w:hAnsi="宋体"/>
          <w:spacing w:val="10"/>
          <w:sz w:val="24"/>
          <w:highlight w:val="none"/>
        </w:rPr>
        <w:t>/</w:t>
      </w:r>
      <w:r>
        <w:rPr>
          <w:rFonts w:hint="eastAsia" w:ascii="宋体" w:hAnsi="宋体"/>
          <w:spacing w:val="10"/>
          <w:sz w:val="24"/>
          <w:highlight w:val="none"/>
        </w:rPr>
        <w:t>平方米；</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14950" cy="4610100"/>
            <wp:effectExtent l="0" t="0" r="0" b="0"/>
            <wp:docPr id="6"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IMG_256"/>
                    <pic:cNvPicPr>
                      <a:picLocks noChangeAspect="1"/>
                    </pic:cNvPicPr>
                  </pic:nvPicPr>
                  <pic:blipFill>
                    <a:blip r:embed="rId8"/>
                    <a:stretch>
                      <a:fillRect/>
                    </a:stretch>
                  </pic:blipFill>
                  <pic:spPr>
                    <a:xfrm>
                      <a:off x="0" y="0"/>
                      <a:ext cx="5314950" cy="4610100"/>
                    </a:xfrm>
                    <a:prstGeom prst="rect">
                      <a:avLst/>
                    </a:prstGeom>
                    <a:noFill/>
                    <a:ln>
                      <a:noFill/>
                    </a:ln>
                  </pic:spPr>
                </pic:pic>
              </a:graphicData>
            </a:graphic>
          </wp:inline>
        </w:drawing>
      </w:r>
    </w:p>
    <w:p>
      <w:pPr>
        <w:widowControl/>
        <w:spacing w:line="360" w:lineRule="auto"/>
        <w:ind w:firstLine="520" w:firstLineChars="200"/>
        <w:rPr>
          <w:rFonts w:hint="eastAsia" w:ascii="宋体" w:hAnsi="宋体"/>
          <w:color w:val="000000"/>
          <w:spacing w:val="10"/>
          <w:sz w:val="24"/>
          <w:highlight w:val="none"/>
          <w:lang w:val="zh-CN"/>
        </w:rPr>
      </w:pPr>
      <w:r>
        <w:rPr>
          <w:rFonts w:hint="eastAsia" w:ascii="宋体" w:hAnsi="宋体"/>
          <w:color w:val="000000"/>
          <w:spacing w:val="10"/>
          <w:sz w:val="24"/>
          <w:highlight w:val="none"/>
          <w:lang w:val="zh-CN"/>
        </w:rPr>
        <w:t>具体见下表：</w:t>
      </w:r>
    </w:p>
    <w:tbl>
      <w:tblPr>
        <w:tblStyle w:val="40"/>
        <w:tblW w:w="8440" w:type="dxa"/>
        <w:tblInd w:w="0" w:type="dxa"/>
        <w:tblLayout w:type="fixed"/>
        <w:tblCellMar>
          <w:top w:w="0" w:type="dxa"/>
          <w:left w:w="0" w:type="dxa"/>
          <w:bottom w:w="0" w:type="dxa"/>
          <w:right w:w="0" w:type="dxa"/>
        </w:tblCellMar>
      </w:tblPr>
      <w:tblGrid>
        <w:gridCol w:w="1203"/>
        <w:gridCol w:w="1471"/>
        <w:gridCol w:w="1371"/>
        <w:gridCol w:w="1487"/>
        <w:gridCol w:w="1421"/>
        <w:gridCol w:w="1487"/>
      </w:tblGrid>
      <w:tr>
        <w:tblPrEx>
          <w:tblLayout w:type="fixed"/>
          <w:tblCellMar>
            <w:top w:w="0" w:type="dxa"/>
            <w:left w:w="0" w:type="dxa"/>
            <w:bottom w:w="0" w:type="dxa"/>
            <w:right w:w="0" w:type="dxa"/>
          </w:tblCellMar>
        </w:tblPrEx>
        <w:trPr>
          <w:trHeight w:val="285" w:hRule="atLeast"/>
        </w:trPr>
        <w:tc>
          <w:tcPr>
            <w:tcW w:w="267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和安家园</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广富欣城</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世景华庭</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和安家园南区</w:t>
            </w:r>
          </w:p>
        </w:tc>
      </w:tr>
      <w:tr>
        <w:tblPrEx>
          <w:tblLayout w:type="fixed"/>
          <w:tblCellMar>
            <w:top w:w="0" w:type="dxa"/>
            <w:left w:w="0" w:type="dxa"/>
            <w:bottom w:w="0" w:type="dxa"/>
            <w:right w:w="0" w:type="dxa"/>
          </w:tblCellMar>
        </w:tblPrEx>
        <w:trPr>
          <w:trHeight w:val="495" w:hRule="atLeast"/>
        </w:trPr>
        <w:tc>
          <w:tcPr>
            <w:tcW w:w="267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交易情况修正</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报价</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正常</w:t>
            </w:r>
          </w:p>
        </w:tc>
      </w:tr>
      <w:tr>
        <w:tblPrEx>
          <w:tblLayout w:type="fixed"/>
          <w:tblCellMar>
            <w:top w:w="0" w:type="dxa"/>
            <w:left w:w="0" w:type="dxa"/>
            <w:bottom w:w="0" w:type="dxa"/>
            <w:right w:w="0" w:type="dxa"/>
          </w:tblCellMar>
        </w:tblPrEx>
        <w:trPr>
          <w:trHeight w:val="480" w:hRule="atLeast"/>
        </w:trPr>
        <w:tc>
          <w:tcPr>
            <w:tcW w:w="267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交易日期调整</w:t>
            </w:r>
          </w:p>
        </w:tc>
        <w:tc>
          <w:tcPr>
            <w:tcW w:w="137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2019年2月</w:t>
            </w:r>
          </w:p>
        </w:tc>
      </w:tr>
      <w:tr>
        <w:tblPrEx>
          <w:tblLayout w:type="fixed"/>
          <w:tblCellMar>
            <w:top w:w="0" w:type="dxa"/>
            <w:left w:w="0" w:type="dxa"/>
            <w:bottom w:w="0" w:type="dxa"/>
            <w:right w:w="0" w:type="dxa"/>
          </w:tblCellMar>
        </w:tblPrEx>
        <w:trPr>
          <w:trHeight w:val="285" w:hRule="atLeast"/>
        </w:trPr>
        <w:tc>
          <w:tcPr>
            <w:tcW w:w="12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区位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状况</w:t>
            </w: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方位</w:t>
            </w:r>
          </w:p>
        </w:tc>
        <w:tc>
          <w:tcPr>
            <w:tcW w:w="137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一般</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交通条件</w:t>
            </w:r>
          </w:p>
        </w:tc>
        <w:tc>
          <w:tcPr>
            <w:tcW w:w="137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r>
      <w:tr>
        <w:tblPrEx>
          <w:tblLayout w:type="fixed"/>
          <w:tblCellMar>
            <w:top w:w="0" w:type="dxa"/>
            <w:left w:w="0" w:type="dxa"/>
            <w:bottom w:w="0" w:type="dxa"/>
            <w:right w:w="0" w:type="dxa"/>
          </w:tblCellMar>
        </w:tblPrEx>
        <w:trPr>
          <w:trHeight w:val="480"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生活服务设施</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较好</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教育配套设施</w:t>
            </w:r>
          </w:p>
        </w:tc>
        <w:tc>
          <w:tcPr>
            <w:tcW w:w="137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环境质量</w:t>
            </w:r>
          </w:p>
        </w:tc>
        <w:tc>
          <w:tcPr>
            <w:tcW w:w="137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较好</w:t>
            </w:r>
          </w:p>
        </w:tc>
      </w:tr>
      <w:tr>
        <w:tblPrEx>
          <w:tblLayout w:type="fixed"/>
          <w:tblCellMar>
            <w:top w:w="0" w:type="dxa"/>
            <w:left w:w="0" w:type="dxa"/>
            <w:bottom w:w="0" w:type="dxa"/>
            <w:right w:w="0" w:type="dxa"/>
          </w:tblCellMar>
        </w:tblPrEx>
        <w:trPr>
          <w:trHeight w:val="49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nil"/>
              <w:left w:val="nil"/>
              <w:bottom w:val="nil"/>
              <w:right w:val="nil"/>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基础设施</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五通</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楼层范围</w:t>
            </w:r>
          </w:p>
        </w:tc>
        <w:tc>
          <w:tcPr>
            <w:tcW w:w="1371"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3层</w:t>
            </w:r>
          </w:p>
        </w:tc>
        <w:tc>
          <w:tcPr>
            <w:tcW w:w="1487"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3层</w:t>
            </w:r>
          </w:p>
        </w:tc>
        <w:tc>
          <w:tcPr>
            <w:tcW w:w="1421"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3层</w:t>
            </w:r>
          </w:p>
        </w:tc>
        <w:tc>
          <w:tcPr>
            <w:tcW w:w="1487"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3层</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居住区级别</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小区</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小区</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小区</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小区</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周围景观</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一般</w:t>
            </w:r>
          </w:p>
        </w:tc>
      </w:tr>
      <w:tr>
        <w:tblPrEx>
          <w:tblLayout w:type="fixed"/>
          <w:tblCellMar>
            <w:top w:w="0" w:type="dxa"/>
            <w:left w:w="0" w:type="dxa"/>
            <w:bottom w:w="0" w:type="dxa"/>
            <w:right w:w="0" w:type="dxa"/>
          </w:tblCellMar>
        </w:tblPrEx>
        <w:trPr>
          <w:trHeight w:val="285" w:hRule="atLeast"/>
        </w:trPr>
        <w:tc>
          <w:tcPr>
            <w:tcW w:w="12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权益</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状况</w:t>
            </w: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土地类型</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出让地</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出让地</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出让地</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出让地</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权属状况</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421"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完全权益</w:t>
            </w:r>
          </w:p>
        </w:tc>
      </w:tr>
      <w:tr>
        <w:tblPrEx>
          <w:tblLayout w:type="fixed"/>
          <w:tblCellMar>
            <w:top w:w="0" w:type="dxa"/>
            <w:left w:w="0" w:type="dxa"/>
            <w:bottom w:w="0" w:type="dxa"/>
            <w:right w:w="0" w:type="dxa"/>
          </w:tblCellMar>
        </w:tblPrEx>
        <w:trPr>
          <w:trHeight w:val="285" w:hRule="atLeast"/>
        </w:trPr>
        <w:tc>
          <w:tcPr>
            <w:tcW w:w="120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建筑年代</w:t>
            </w:r>
          </w:p>
        </w:tc>
        <w:tc>
          <w:tcPr>
            <w:tcW w:w="137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2010</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2012</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2010</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2008</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结构</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混合</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楼栋类型</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多层</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多层</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多层</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多层</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装修</w:t>
            </w:r>
          </w:p>
        </w:tc>
        <w:tc>
          <w:tcPr>
            <w:tcW w:w="137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中装</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毛坯</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毛坯</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中装</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配套设施设备</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齐全</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层高</w:t>
            </w:r>
          </w:p>
        </w:tc>
        <w:tc>
          <w:tcPr>
            <w:tcW w:w="137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3</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空间布局</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周正适用</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周正适用</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周正适用</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周正适用</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房屋面积</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128</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139</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133</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96.42</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花园面积</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合格</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完损等级</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完好房</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完好房</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完好房</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完好房</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物业管理</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w:t>
            </w:r>
          </w:p>
        </w:tc>
      </w:tr>
      <w:tr>
        <w:tblPrEx>
          <w:tblLayout w:type="fixed"/>
          <w:tblCellMar>
            <w:top w:w="0" w:type="dxa"/>
            <w:left w:w="0" w:type="dxa"/>
            <w:bottom w:w="0" w:type="dxa"/>
            <w:right w:w="0" w:type="dxa"/>
          </w:tblCellMar>
        </w:tblPrEx>
        <w:trPr>
          <w:trHeight w:val="285" w:hRule="atLeast"/>
        </w:trPr>
        <w:tc>
          <w:tcPr>
            <w:tcW w:w="120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其他因素</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w:t>
            </w:r>
          </w:p>
        </w:tc>
      </w:tr>
      <w:tr>
        <w:tblPrEx>
          <w:tblLayout w:type="fixed"/>
          <w:tblCellMar>
            <w:top w:w="0" w:type="dxa"/>
            <w:left w:w="0" w:type="dxa"/>
            <w:bottom w:w="0" w:type="dxa"/>
            <w:right w:w="0" w:type="dxa"/>
          </w:tblCellMar>
        </w:tblPrEx>
        <w:trPr>
          <w:trHeight w:val="285" w:hRule="atLeast"/>
        </w:trPr>
        <w:tc>
          <w:tcPr>
            <w:tcW w:w="267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单价(元/M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13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2718</w:t>
            </w:r>
          </w:p>
        </w:tc>
        <w:tc>
          <w:tcPr>
            <w:tcW w:w="1487"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2575</w:t>
            </w:r>
          </w:p>
        </w:tc>
        <w:tc>
          <w:tcPr>
            <w:tcW w:w="1421" w:type="dxa"/>
            <w:tcBorders>
              <w:top w:val="nil"/>
              <w:left w:val="nil"/>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2691</w:t>
            </w:r>
          </w:p>
        </w:tc>
        <w:tc>
          <w:tcPr>
            <w:tcW w:w="14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r>
    </w:tbl>
    <w:p>
      <w:pPr>
        <w:widowControl/>
        <w:spacing w:line="360" w:lineRule="auto"/>
        <w:ind w:firstLine="480" w:firstLineChars="200"/>
        <w:rPr>
          <w:rFonts w:ascii="宋体"/>
          <w:color w:val="000000"/>
          <w:sz w:val="24"/>
          <w:highlight w:val="none"/>
        </w:rPr>
      </w:pPr>
      <w:r>
        <w:rPr>
          <w:rFonts w:hint="eastAsia" w:ascii="宋体" w:hAnsi="宋体"/>
          <w:color w:val="000000"/>
          <w:sz w:val="24"/>
          <w:highlight w:val="none"/>
        </w:rPr>
        <w:t>⑵建立比较基础</w:t>
      </w:r>
    </w:p>
    <w:p>
      <w:pPr>
        <w:widowControl/>
        <w:spacing w:line="360" w:lineRule="auto"/>
        <w:ind w:firstLine="480" w:firstLineChars="200"/>
        <w:rPr>
          <w:rFonts w:ascii="宋体"/>
          <w:color w:val="000000"/>
          <w:sz w:val="24"/>
          <w:highlight w:val="none"/>
        </w:rPr>
      </w:pPr>
      <w:r>
        <w:rPr>
          <w:rFonts w:hint="eastAsia" w:ascii="宋体" w:hAnsi="宋体"/>
          <w:color w:val="000000"/>
          <w:sz w:val="24"/>
          <w:highlight w:val="none"/>
        </w:rPr>
        <w:t>选取了可比实例后，应先对这些可比实例进行换算处理，统一口径、形式，为后续的有关比较、修正和调整建立一个共同的基础。建立比较基础一般要做以下工作：①统一房地产范围②统一付款方式③统一税费负担④统一价格单位。</w:t>
      </w:r>
    </w:p>
    <w:p>
      <w:pPr>
        <w:widowControl/>
        <w:spacing w:line="360" w:lineRule="auto"/>
        <w:ind w:firstLine="480" w:firstLineChars="200"/>
        <w:rPr>
          <w:rFonts w:ascii="宋体"/>
          <w:color w:val="000000"/>
          <w:sz w:val="24"/>
          <w:highlight w:val="none"/>
        </w:rPr>
      </w:pPr>
      <w:r>
        <w:rPr>
          <w:rFonts w:hint="eastAsia" w:ascii="宋体" w:hAnsi="宋体"/>
          <w:color w:val="000000"/>
          <w:sz w:val="24"/>
          <w:highlight w:val="none"/>
        </w:rPr>
        <w:t>可比实例情况及比较基础如下表所示：</w:t>
      </w:r>
    </w:p>
    <w:tbl>
      <w:tblPr>
        <w:tblStyle w:val="40"/>
        <w:tblW w:w="9465" w:type="dxa"/>
        <w:jc w:val="center"/>
        <w:tblInd w:w="0" w:type="dxa"/>
        <w:tblLayout w:type="fixed"/>
        <w:tblCellMar>
          <w:top w:w="0" w:type="dxa"/>
          <w:left w:w="108" w:type="dxa"/>
          <w:bottom w:w="0" w:type="dxa"/>
          <w:right w:w="108" w:type="dxa"/>
        </w:tblCellMar>
      </w:tblPr>
      <w:tblGrid>
        <w:gridCol w:w="1762"/>
        <w:gridCol w:w="1948"/>
        <w:gridCol w:w="1952"/>
        <w:gridCol w:w="1902"/>
        <w:gridCol w:w="1901"/>
      </w:tblGrid>
      <w:tr>
        <w:tblPrEx>
          <w:tblLayout w:type="fixed"/>
          <w:tblCellMar>
            <w:top w:w="0" w:type="dxa"/>
            <w:left w:w="108" w:type="dxa"/>
            <w:bottom w:w="0" w:type="dxa"/>
            <w:right w:w="108" w:type="dxa"/>
          </w:tblCellMar>
        </w:tblPrEx>
        <w:trPr>
          <w:trHeight w:val="454" w:hRule="atLeast"/>
          <w:jc w:val="center"/>
        </w:trPr>
        <w:tc>
          <w:tcPr>
            <w:tcW w:w="1762" w:type="dxa"/>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项目</w:t>
            </w:r>
          </w:p>
        </w:tc>
        <w:tc>
          <w:tcPr>
            <w:tcW w:w="1948" w:type="dxa"/>
            <w:tcBorders>
              <w:top w:val="single" w:color="auto" w:sz="4" w:space="0"/>
              <w:left w:val="nil"/>
              <w:bottom w:val="single" w:color="auto" w:sz="4" w:space="0"/>
              <w:right w:val="single" w:color="auto" w:sz="4" w:space="0"/>
            </w:tcBorders>
            <w:noWrap w:val="0"/>
            <w:vAlign w:val="bottom"/>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比较基础</w:t>
            </w:r>
          </w:p>
        </w:tc>
        <w:tc>
          <w:tcPr>
            <w:tcW w:w="1952" w:type="dxa"/>
            <w:tcBorders>
              <w:top w:val="single" w:color="auto" w:sz="4" w:space="0"/>
              <w:left w:val="nil"/>
              <w:bottom w:val="single" w:color="auto" w:sz="4" w:space="0"/>
              <w:right w:val="single" w:color="auto" w:sz="4" w:space="0"/>
            </w:tcBorders>
            <w:noWrap w:val="0"/>
            <w:vAlign w:val="bottom"/>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可比实例A</w:t>
            </w:r>
          </w:p>
        </w:tc>
        <w:tc>
          <w:tcPr>
            <w:tcW w:w="1902" w:type="dxa"/>
            <w:tcBorders>
              <w:top w:val="single" w:color="auto" w:sz="4" w:space="0"/>
              <w:left w:val="nil"/>
              <w:bottom w:val="single" w:color="auto" w:sz="4" w:space="0"/>
              <w:right w:val="single" w:color="auto" w:sz="4" w:space="0"/>
            </w:tcBorders>
            <w:noWrap w:val="0"/>
            <w:vAlign w:val="bottom"/>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可比实例B</w:t>
            </w:r>
          </w:p>
        </w:tc>
        <w:tc>
          <w:tcPr>
            <w:tcW w:w="1901" w:type="dxa"/>
            <w:tcBorders>
              <w:top w:val="single" w:color="auto" w:sz="4" w:space="0"/>
              <w:left w:val="nil"/>
              <w:bottom w:val="single" w:color="auto" w:sz="4" w:space="0"/>
              <w:right w:val="single" w:color="auto" w:sz="4" w:space="0"/>
            </w:tcBorders>
            <w:noWrap w:val="0"/>
            <w:vAlign w:val="bottom"/>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可比实例C</w:t>
            </w:r>
          </w:p>
        </w:tc>
      </w:tr>
      <w:tr>
        <w:tblPrEx>
          <w:tblLayout w:type="fixed"/>
          <w:tblCellMar>
            <w:top w:w="0" w:type="dxa"/>
            <w:left w:w="108" w:type="dxa"/>
            <w:bottom w:w="0" w:type="dxa"/>
            <w:right w:w="108" w:type="dxa"/>
          </w:tblCellMar>
        </w:tblPrEx>
        <w:trPr>
          <w:trHeight w:val="345" w:hRule="atLeast"/>
          <w:jc w:val="center"/>
        </w:trPr>
        <w:tc>
          <w:tcPr>
            <w:tcW w:w="1762" w:type="dxa"/>
            <w:tcBorders>
              <w:top w:val="nil"/>
              <w:left w:val="single" w:color="auto" w:sz="4" w:space="0"/>
              <w:bottom w:val="single" w:color="auto" w:sz="4" w:space="0"/>
              <w:right w:val="single" w:color="auto" w:sz="4" w:space="0"/>
            </w:tcBorders>
            <w:noWrap w:val="0"/>
            <w:vAlign w:val="bottom"/>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单价(元/M</w:t>
            </w:r>
            <w:r>
              <w:rPr>
                <w:rFonts w:hint="eastAsia" w:ascii="宋体" w:hAnsi="宋体" w:cs="宋体"/>
                <w:b/>
                <w:bCs/>
                <w:color w:val="000000"/>
                <w:kern w:val="0"/>
                <w:sz w:val="20"/>
                <w:highlight w:val="none"/>
                <w:vertAlign w:val="superscript"/>
              </w:rPr>
              <w:t>2</w:t>
            </w:r>
            <w:r>
              <w:rPr>
                <w:rFonts w:hint="eastAsia" w:ascii="宋体" w:hAnsi="宋体" w:cs="宋体"/>
                <w:b/>
                <w:bCs/>
                <w:color w:val="000000"/>
                <w:kern w:val="0"/>
                <w:sz w:val="20"/>
                <w:highlight w:val="none"/>
              </w:rPr>
              <w:t>)</w:t>
            </w:r>
          </w:p>
        </w:tc>
        <w:tc>
          <w:tcPr>
            <w:tcW w:w="1948"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w:t>
            </w:r>
          </w:p>
        </w:tc>
        <w:tc>
          <w:tcPr>
            <w:tcW w:w="1952"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2718</w:t>
            </w:r>
          </w:p>
        </w:tc>
        <w:tc>
          <w:tcPr>
            <w:tcW w:w="1902"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2575</w:t>
            </w:r>
          </w:p>
        </w:tc>
        <w:tc>
          <w:tcPr>
            <w:tcW w:w="1901"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2691</w:t>
            </w:r>
          </w:p>
        </w:tc>
      </w:tr>
      <w:tr>
        <w:tblPrEx>
          <w:tblLayout w:type="fixed"/>
          <w:tblCellMar>
            <w:top w:w="0" w:type="dxa"/>
            <w:left w:w="108" w:type="dxa"/>
            <w:bottom w:w="0" w:type="dxa"/>
            <w:right w:w="108" w:type="dxa"/>
          </w:tblCellMar>
        </w:tblPrEx>
        <w:trPr>
          <w:trHeight w:val="345" w:hRule="atLeast"/>
          <w:jc w:val="center"/>
        </w:trPr>
        <w:tc>
          <w:tcPr>
            <w:tcW w:w="176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房地产范围</w:t>
            </w:r>
          </w:p>
        </w:tc>
        <w:tc>
          <w:tcPr>
            <w:tcW w:w="1948"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无附赠、债权债务</w:t>
            </w:r>
          </w:p>
        </w:tc>
        <w:tc>
          <w:tcPr>
            <w:tcW w:w="195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无附赠、债权债务</w:t>
            </w:r>
          </w:p>
        </w:tc>
        <w:tc>
          <w:tcPr>
            <w:tcW w:w="190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无附赠、债权债务</w:t>
            </w:r>
          </w:p>
        </w:tc>
        <w:tc>
          <w:tcPr>
            <w:tcW w:w="190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无附赠、债权债务</w:t>
            </w:r>
          </w:p>
        </w:tc>
      </w:tr>
      <w:tr>
        <w:tblPrEx>
          <w:tblLayout w:type="fixed"/>
          <w:tblCellMar>
            <w:top w:w="0" w:type="dxa"/>
            <w:left w:w="108" w:type="dxa"/>
            <w:bottom w:w="0" w:type="dxa"/>
            <w:right w:w="108" w:type="dxa"/>
          </w:tblCellMar>
        </w:tblPrEx>
        <w:trPr>
          <w:trHeight w:val="345" w:hRule="atLeast"/>
          <w:jc w:val="center"/>
        </w:trPr>
        <w:tc>
          <w:tcPr>
            <w:tcW w:w="176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付款方式</w:t>
            </w:r>
          </w:p>
        </w:tc>
        <w:tc>
          <w:tcPr>
            <w:tcW w:w="1948"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一次性</w:t>
            </w:r>
          </w:p>
        </w:tc>
        <w:tc>
          <w:tcPr>
            <w:tcW w:w="195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一次性</w:t>
            </w:r>
          </w:p>
        </w:tc>
        <w:tc>
          <w:tcPr>
            <w:tcW w:w="1902"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一次性</w:t>
            </w:r>
          </w:p>
        </w:tc>
        <w:tc>
          <w:tcPr>
            <w:tcW w:w="1901"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一次性</w:t>
            </w:r>
          </w:p>
        </w:tc>
      </w:tr>
      <w:tr>
        <w:tblPrEx>
          <w:tblLayout w:type="fixed"/>
          <w:tblCellMar>
            <w:top w:w="0" w:type="dxa"/>
            <w:left w:w="108" w:type="dxa"/>
            <w:bottom w:w="0" w:type="dxa"/>
            <w:right w:w="108" w:type="dxa"/>
          </w:tblCellMar>
        </w:tblPrEx>
        <w:trPr>
          <w:trHeight w:val="345" w:hRule="atLeast"/>
          <w:jc w:val="center"/>
        </w:trPr>
        <w:tc>
          <w:tcPr>
            <w:tcW w:w="176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税费负担</w:t>
            </w:r>
          </w:p>
        </w:tc>
        <w:tc>
          <w:tcPr>
            <w:tcW w:w="1948"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各付</w:t>
            </w:r>
          </w:p>
        </w:tc>
        <w:tc>
          <w:tcPr>
            <w:tcW w:w="1952" w:type="dxa"/>
            <w:tcBorders>
              <w:top w:val="nil"/>
              <w:left w:val="nil"/>
              <w:bottom w:val="single" w:color="auto" w:sz="4" w:space="0"/>
              <w:right w:val="single" w:color="auto" w:sz="4" w:space="0"/>
            </w:tcBorders>
            <w:noWrap w:val="0"/>
            <w:vAlign w:val="top"/>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各付</w:t>
            </w:r>
          </w:p>
        </w:tc>
        <w:tc>
          <w:tcPr>
            <w:tcW w:w="1902" w:type="dxa"/>
            <w:tcBorders>
              <w:top w:val="nil"/>
              <w:left w:val="nil"/>
              <w:bottom w:val="single" w:color="auto" w:sz="4" w:space="0"/>
              <w:right w:val="single" w:color="auto" w:sz="4" w:space="0"/>
            </w:tcBorders>
            <w:noWrap w:val="0"/>
            <w:vAlign w:val="top"/>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各付</w:t>
            </w:r>
          </w:p>
        </w:tc>
        <w:tc>
          <w:tcPr>
            <w:tcW w:w="1901" w:type="dxa"/>
            <w:tcBorders>
              <w:top w:val="nil"/>
              <w:left w:val="nil"/>
              <w:bottom w:val="single" w:color="auto" w:sz="4" w:space="0"/>
              <w:right w:val="single" w:color="auto" w:sz="4" w:space="0"/>
            </w:tcBorders>
            <w:noWrap w:val="0"/>
            <w:vAlign w:val="top"/>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各付</w:t>
            </w:r>
          </w:p>
        </w:tc>
      </w:tr>
      <w:tr>
        <w:tblPrEx>
          <w:tblLayout w:type="fixed"/>
          <w:tblCellMar>
            <w:top w:w="0" w:type="dxa"/>
            <w:left w:w="108" w:type="dxa"/>
            <w:bottom w:w="0" w:type="dxa"/>
            <w:right w:w="108" w:type="dxa"/>
          </w:tblCellMar>
        </w:tblPrEx>
        <w:trPr>
          <w:trHeight w:val="345" w:hRule="atLeast"/>
          <w:jc w:val="center"/>
        </w:trPr>
        <w:tc>
          <w:tcPr>
            <w:tcW w:w="176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000000"/>
                <w:kern w:val="0"/>
                <w:sz w:val="20"/>
                <w:highlight w:val="none"/>
              </w:rPr>
            </w:pPr>
            <w:r>
              <w:rPr>
                <w:rFonts w:hint="eastAsia" w:ascii="宋体" w:hAnsi="宋体" w:cs="宋体"/>
                <w:b/>
                <w:bCs/>
                <w:color w:val="000000"/>
                <w:kern w:val="0"/>
                <w:sz w:val="20"/>
                <w:highlight w:val="none"/>
              </w:rPr>
              <w:t>价格单位</w:t>
            </w:r>
          </w:p>
        </w:tc>
        <w:tc>
          <w:tcPr>
            <w:tcW w:w="1948" w:type="dxa"/>
            <w:tcBorders>
              <w:top w:val="nil"/>
              <w:left w:val="nil"/>
              <w:bottom w:val="single" w:color="auto" w:sz="4" w:space="0"/>
              <w:right w:val="single" w:color="auto" w:sz="4" w:space="0"/>
            </w:tcBorders>
            <w:noWrap w:val="0"/>
            <w:vAlign w:val="bottom"/>
          </w:tcPr>
          <w:p>
            <w:pPr>
              <w:widowControl/>
              <w:jc w:val="center"/>
              <w:rPr>
                <w:rFonts w:ascii="宋体" w:hAnsi="宋体" w:cs="宋体"/>
                <w:color w:val="000000"/>
                <w:kern w:val="0"/>
                <w:sz w:val="20"/>
                <w:highlight w:val="none"/>
              </w:rPr>
            </w:pPr>
            <w:r>
              <w:rPr>
                <w:rFonts w:hint="eastAsia" w:ascii="宋体" w:hAnsi="宋体" w:cs="宋体"/>
                <w:color w:val="000000"/>
                <w:kern w:val="0"/>
                <w:sz w:val="20"/>
                <w:highlight w:val="none"/>
              </w:rPr>
              <w:t>单位建筑面积价格</w:t>
            </w:r>
          </w:p>
        </w:tc>
        <w:tc>
          <w:tcPr>
            <w:tcW w:w="1952"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0"/>
                <w:highlight w:val="none"/>
              </w:rPr>
            </w:pPr>
            <w:r>
              <w:rPr>
                <w:rFonts w:hint="eastAsia" w:ascii="宋体" w:hAnsi="宋体" w:cs="宋体"/>
                <w:color w:val="000000"/>
                <w:kern w:val="0"/>
                <w:sz w:val="20"/>
                <w:highlight w:val="none"/>
              </w:rPr>
              <w:t>单位建筑面积价格</w:t>
            </w:r>
          </w:p>
        </w:tc>
        <w:tc>
          <w:tcPr>
            <w:tcW w:w="1902"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0"/>
                <w:highlight w:val="none"/>
              </w:rPr>
            </w:pPr>
            <w:r>
              <w:rPr>
                <w:rFonts w:hint="eastAsia" w:ascii="宋体" w:hAnsi="宋体" w:cs="宋体"/>
                <w:color w:val="000000"/>
                <w:kern w:val="0"/>
                <w:sz w:val="20"/>
                <w:highlight w:val="none"/>
              </w:rPr>
              <w:t>单位建筑面积价格</w:t>
            </w:r>
          </w:p>
        </w:tc>
        <w:tc>
          <w:tcPr>
            <w:tcW w:w="1901" w:type="dxa"/>
            <w:tcBorders>
              <w:top w:val="nil"/>
              <w:left w:val="nil"/>
              <w:bottom w:val="single" w:color="auto" w:sz="4" w:space="0"/>
              <w:right w:val="single" w:color="auto" w:sz="4" w:space="0"/>
            </w:tcBorders>
            <w:noWrap w:val="0"/>
            <w:vAlign w:val="top"/>
          </w:tcPr>
          <w:p>
            <w:pPr>
              <w:widowControl/>
              <w:rPr>
                <w:rFonts w:ascii="宋体" w:hAnsi="宋体" w:cs="宋体"/>
                <w:color w:val="000000"/>
                <w:kern w:val="0"/>
                <w:sz w:val="20"/>
                <w:highlight w:val="none"/>
              </w:rPr>
            </w:pPr>
            <w:r>
              <w:rPr>
                <w:rFonts w:hint="eastAsia" w:ascii="宋体" w:hAnsi="宋体" w:cs="宋体"/>
                <w:color w:val="000000"/>
                <w:kern w:val="0"/>
                <w:sz w:val="20"/>
                <w:highlight w:val="none"/>
              </w:rPr>
              <w:t>单位建筑面积价格</w:t>
            </w:r>
          </w:p>
        </w:tc>
      </w:tr>
    </w:tbl>
    <w:p>
      <w:pPr>
        <w:widowControl/>
        <w:spacing w:line="360" w:lineRule="auto"/>
        <w:ind w:firstLine="600" w:firstLineChars="250"/>
        <w:rPr>
          <w:rFonts w:hint="eastAsia" w:ascii="宋体" w:hAnsi="宋体"/>
          <w:color w:val="000000"/>
          <w:sz w:val="24"/>
          <w:highlight w:val="none"/>
        </w:rPr>
      </w:pPr>
    </w:p>
    <w:p>
      <w:pPr>
        <w:widowControl/>
        <w:spacing w:line="360" w:lineRule="auto"/>
        <w:ind w:firstLine="600" w:firstLineChars="250"/>
        <w:rPr>
          <w:rFonts w:hint="eastAsia" w:ascii="宋体" w:hAnsi="宋体"/>
          <w:color w:val="000000"/>
          <w:sz w:val="24"/>
          <w:highlight w:val="none"/>
        </w:rPr>
      </w:pPr>
    </w:p>
    <w:p>
      <w:pPr>
        <w:widowControl/>
        <w:spacing w:line="360" w:lineRule="auto"/>
        <w:ind w:firstLine="600" w:firstLineChars="250"/>
        <w:rPr>
          <w:rFonts w:ascii="宋体"/>
          <w:color w:val="000000"/>
          <w:sz w:val="24"/>
          <w:highlight w:val="none"/>
        </w:rPr>
      </w:pPr>
      <w:r>
        <w:rPr>
          <w:rFonts w:hint="eastAsia" w:ascii="宋体" w:hAnsi="宋体"/>
          <w:color w:val="000000"/>
          <w:sz w:val="24"/>
          <w:highlight w:val="none"/>
        </w:rPr>
        <w:t>同比基准修正后可比价格如下表所示：</w:t>
      </w:r>
    </w:p>
    <w:tbl>
      <w:tblPr>
        <w:tblStyle w:val="40"/>
        <w:tblW w:w="8522" w:type="dxa"/>
        <w:jc w:val="center"/>
        <w:tblInd w:w="0" w:type="dxa"/>
        <w:tblLayout w:type="fixed"/>
        <w:tblCellMar>
          <w:top w:w="0" w:type="dxa"/>
          <w:left w:w="108" w:type="dxa"/>
          <w:bottom w:w="0" w:type="dxa"/>
          <w:right w:w="108" w:type="dxa"/>
        </w:tblCellMar>
      </w:tblPr>
      <w:tblGrid>
        <w:gridCol w:w="2188"/>
        <w:gridCol w:w="2188"/>
        <w:gridCol w:w="2073"/>
        <w:gridCol w:w="2073"/>
      </w:tblGrid>
      <w:tr>
        <w:tblPrEx>
          <w:tblLayout w:type="fixed"/>
          <w:tblCellMar>
            <w:top w:w="0" w:type="dxa"/>
            <w:left w:w="108" w:type="dxa"/>
            <w:bottom w:w="0" w:type="dxa"/>
            <w:right w:w="108" w:type="dxa"/>
          </w:tblCellMar>
        </w:tblPrEx>
        <w:trPr>
          <w:trHeight w:val="345" w:hRule="atLeast"/>
          <w:jc w:val="center"/>
        </w:trPr>
        <w:tc>
          <w:tcPr>
            <w:tcW w:w="2188" w:type="dxa"/>
            <w:tcBorders>
              <w:top w:val="single" w:color="auto" w:sz="4" w:space="0"/>
              <w:left w:val="single" w:color="auto" w:sz="4" w:space="0"/>
              <w:bottom w:val="single" w:color="auto" w:sz="4" w:space="0"/>
              <w:right w:val="single" w:color="auto" w:sz="4" w:space="0"/>
            </w:tcBorders>
            <w:noWrap w:val="0"/>
            <w:vAlign w:val="bottom"/>
          </w:tcPr>
          <w:p>
            <w:pPr>
              <w:widowControl/>
              <w:jc w:val="left"/>
              <w:rPr>
                <w:rFonts w:ascii="宋体" w:hAnsi="宋体" w:cs="宋体"/>
                <w:kern w:val="0"/>
                <w:sz w:val="20"/>
                <w:highlight w:val="none"/>
              </w:rPr>
            </w:pPr>
            <w:r>
              <w:rPr>
                <w:rFonts w:hint="eastAsia" w:ascii="宋体" w:hAnsi="宋体" w:cs="宋体"/>
                <w:kern w:val="0"/>
                <w:sz w:val="20"/>
                <w:highlight w:val="none"/>
              </w:rPr>
              <w:t>项目</w:t>
            </w:r>
          </w:p>
        </w:tc>
        <w:tc>
          <w:tcPr>
            <w:tcW w:w="2188" w:type="dxa"/>
            <w:tcBorders>
              <w:top w:val="single" w:color="auto" w:sz="4" w:space="0"/>
              <w:left w:val="nil"/>
              <w:bottom w:val="nil"/>
              <w:right w:val="single" w:color="auto" w:sz="4" w:space="0"/>
            </w:tcBorders>
            <w:noWrap w:val="0"/>
            <w:vAlign w:val="bottom"/>
          </w:tcPr>
          <w:p>
            <w:pPr>
              <w:widowControl/>
              <w:jc w:val="center"/>
              <w:rPr>
                <w:rFonts w:ascii="宋体" w:hAnsi="宋体" w:cs="宋体"/>
                <w:kern w:val="0"/>
                <w:sz w:val="20"/>
                <w:highlight w:val="none"/>
              </w:rPr>
            </w:pPr>
            <w:r>
              <w:rPr>
                <w:rFonts w:hint="eastAsia" w:ascii="宋体" w:hAnsi="宋体" w:cs="宋体"/>
                <w:kern w:val="0"/>
                <w:sz w:val="20"/>
                <w:highlight w:val="none"/>
              </w:rPr>
              <w:t>可比实例A</w:t>
            </w:r>
          </w:p>
        </w:tc>
        <w:tc>
          <w:tcPr>
            <w:tcW w:w="2073" w:type="dxa"/>
            <w:tcBorders>
              <w:top w:val="single" w:color="auto" w:sz="4" w:space="0"/>
              <w:left w:val="nil"/>
              <w:bottom w:val="nil"/>
              <w:right w:val="single" w:color="auto" w:sz="4" w:space="0"/>
            </w:tcBorders>
            <w:noWrap w:val="0"/>
            <w:vAlign w:val="bottom"/>
          </w:tcPr>
          <w:p>
            <w:pPr>
              <w:widowControl/>
              <w:jc w:val="center"/>
              <w:rPr>
                <w:rFonts w:ascii="宋体" w:hAnsi="宋体" w:cs="宋体"/>
                <w:kern w:val="0"/>
                <w:sz w:val="20"/>
                <w:highlight w:val="none"/>
              </w:rPr>
            </w:pPr>
            <w:r>
              <w:rPr>
                <w:rFonts w:hint="eastAsia" w:ascii="宋体" w:hAnsi="宋体" w:cs="宋体"/>
                <w:kern w:val="0"/>
                <w:sz w:val="20"/>
                <w:highlight w:val="none"/>
              </w:rPr>
              <w:t>可比实例B</w:t>
            </w:r>
          </w:p>
        </w:tc>
        <w:tc>
          <w:tcPr>
            <w:tcW w:w="2073" w:type="dxa"/>
            <w:tcBorders>
              <w:top w:val="single" w:color="auto" w:sz="4" w:space="0"/>
              <w:left w:val="nil"/>
              <w:bottom w:val="nil"/>
              <w:right w:val="single" w:color="auto" w:sz="4" w:space="0"/>
            </w:tcBorders>
            <w:noWrap w:val="0"/>
            <w:vAlign w:val="bottom"/>
          </w:tcPr>
          <w:p>
            <w:pPr>
              <w:widowControl/>
              <w:jc w:val="center"/>
              <w:rPr>
                <w:rFonts w:ascii="宋体" w:hAnsi="宋体" w:cs="宋体"/>
                <w:kern w:val="0"/>
                <w:sz w:val="20"/>
                <w:highlight w:val="none"/>
              </w:rPr>
            </w:pPr>
            <w:r>
              <w:rPr>
                <w:rFonts w:hint="eastAsia" w:ascii="宋体" w:hAnsi="宋体" w:cs="宋体"/>
                <w:kern w:val="0"/>
                <w:sz w:val="20"/>
                <w:highlight w:val="none"/>
              </w:rPr>
              <w:t>可比实例C</w:t>
            </w:r>
          </w:p>
        </w:tc>
      </w:tr>
      <w:tr>
        <w:tblPrEx>
          <w:tblLayout w:type="fixed"/>
          <w:tblCellMar>
            <w:top w:w="0" w:type="dxa"/>
            <w:left w:w="108" w:type="dxa"/>
            <w:bottom w:w="0" w:type="dxa"/>
            <w:right w:w="108" w:type="dxa"/>
          </w:tblCellMar>
        </w:tblPrEx>
        <w:trPr>
          <w:trHeight w:val="345" w:hRule="atLeast"/>
          <w:jc w:val="center"/>
        </w:trPr>
        <w:tc>
          <w:tcPr>
            <w:tcW w:w="2188" w:type="dxa"/>
            <w:tcBorders>
              <w:top w:val="nil"/>
              <w:left w:val="single" w:color="auto" w:sz="4" w:space="0"/>
              <w:bottom w:val="single" w:color="auto" w:sz="4" w:space="0"/>
              <w:right w:val="nil"/>
            </w:tcBorders>
            <w:noWrap w:val="0"/>
            <w:vAlign w:val="bottom"/>
          </w:tcPr>
          <w:p>
            <w:pPr>
              <w:widowControl/>
              <w:jc w:val="left"/>
              <w:rPr>
                <w:rFonts w:ascii="宋体" w:hAnsi="宋体" w:cs="宋体"/>
                <w:kern w:val="0"/>
                <w:sz w:val="20"/>
                <w:highlight w:val="none"/>
              </w:rPr>
            </w:pPr>
            <w:r>
              <w:rPr>
                <w:rFonts w:hint="eastAsia" w:ascii="宋体" w:hAnsi="宋体" w:cs="宋体"/>
                <w:kern w:val="0"/>
                <w:sz w:val="20"/>
                <w:highlight w:val="none"/>
              </w:rPr>
              <w:t>单价(元/M</w:t>
            </w:r>
            <w:r>
              <w:rPr>
                <w:rFonts w:hint="eastAsia" w:ascii="宋体" w:hAnsi="宋体" w:cs="宋体"/>
                <w:kern w:val="0"/>
                <w:sz w:val="20"/>
                <w:highlight w:val="none"/>
                <w:vertAlign w:val="superscript"/>
              </w:rPr>
              <w:t>2</w:t>
            </w:r>
            <w:r>
              <w:rPr>
                <w:rFonts w:hint="eastAsia" w:ascii="宋体" w:hAnsi="宋体" w:cs="宋体"/>
                <w:kern w:val="0"/>
                <w:sz w:val="20"/>
                <w:highlight w:val="none"/>
              </w:rPr>
              <w:t>)</w:t>
            </w:r>
          </w:p>
        </w:tc>
        <w:tc>
          <w:tcPr>
            <w:tcW w:w="2188"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2718</w:t>
            </w:r>
          </w:p>
        </w:tc>
        <w:tc>
          <w:tcPr>
            <w:tcW w:w="2073" w:type="dxa"/>
            <w:tcBorders>
              <w:top w:val="single" w:color="auto" w:sz="4" w:space="0"/>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2575</w:t>
            </w:r>
          </w:p>
        </w:tc>
        <w:tc>
          <w:tcPr>
            <w:tcW w:w="2073" w:type="dxa"/>
            <w:tcBorders>
              <w:top w:val="single" w:color="auto" w:sz="4" w:space="0"/>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2691</w:t>
            </w:r>
          </w:p>
        </w:tc>
      </w:tr>
      <w:tr>
        <w:tblPrEx>
          <w:tblLayout w:type="fixed"/>
          <w:tblCellMar>
            <w:top w:w="0" w:type="dxa"/>
            <w:left w:w="108" w:type="dxa"/>
            <w:bottom w:w="0" w:type="dxa"/>
            <w:right w:w="108" w:type="dxa"/>
          </w:tblCellMar>
        </w:tblPrEx>
        <w:trPr>
          <w:trHeight w:val="345" w:hRule="atLeast"/>
          <w:jc w:val="center"/>
        </w:trPr>
        <w:tc>
          <w:tcPr>
            <w:tcW w:w="2188"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0"/>
                <w:highlight w:val="none"/>
              </w:rPr>
            </w:pPr>
            <w:r>
              <w:rPr>
                <w:rFonts w:hint="eastAsia" w:ascii="宋体" w:hAnsi="宋体" w:cs="宋体"/>
                <w:kern w:val="0"/>
                <w:sz w:val="20"/>
                <w:highlight w:val="none"/>
              </w:rPr>
              <w:t>房地产范围</w:t>
            </w:r>
          </w:p>
        </w:tc>
        <w:tc>
          <w:tcPr>
            <w:tcW w:w="218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0.00%</w:t>
            </w:r>
          </w:p>
        </w:tc>
        <w:tc>
          <w:tcPr>
            <w:tcW w:w="207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0.00%</w:t>
            </w:r>
          </w:p>
        </w:tc>
        <w:tc>
          <w:tcPr>
            <w:tcW w:w="207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0.00%</w:t>
            </w:r>
          </w:p>
        </w:tc>
      </w:tr>
      <w:tr>
        <w:tblPrEx>
          <w:tblLayout w:type="fixed"/>
          <w:tblCellMar>
            <w:top w:w="0" w:type="dxa"/>
            <w:left w:w="108" w:type="dxa"/>
            <w:bottom w:w="0" w:type="dxa"/>
            <w:right w:w="108" w:type="dxa"/>
          </w:tblCellMar>
        </w:tblPrEx>
        <w:trPr>
          <w:trHeight w:val="345" w:hRule="atLeast"/>
          <w:jc w:val="center"/>
        </w:trPr>
        <w:tc>
          <w:tcPr>
            <w:tcW w:w="2188"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0"/>
                <w:highlight w:val="none"/>
              </w:rPr>
            </w:pPr>
            <w:r>
              <w:rPr>
                <w:rFonts w:hint="eastAsia" w:ascii="宋体" w:hAnsi="宋体" w:cs="宋体"/>
                <w:kern w:val="0"/>
                <w:sz w:val="20"/>
                <w:highlight w:val="none"/>
              </w:rPr>
              <w:t>付款方式</w:t>
            </w:r>
          </w:p>
        </w:tc>
        <w:tc>
          <w:tcPr>
            <w:tcW w:w="218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0.00%</w:t>
            </w:r>
          </w:p>
        </w:tc>
        <w:tc>
          <w:tcPr>
            <w:tcW w:w="207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0.00%</w:t>
            </w:r>
          </w:p>
        </w:tc>
        <w:tc>
          <w:tcPr>
            <w:tcW w:w="207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0.00%</w:t>
            </w:r>
          </w:p>
        </w:tc>
      </w:tr>
      <w:tr>
        <w:tblPrEx>
          <w:tblLayout w:type="fixed"/>
          <w:tblCellMar>
            <w:top w:w="0" w:type="dxa"/>
            <w:left w:w="108" w:type="dxa"/>
            <w:bottom w:w="0" w:type="dxa"/>
            <w:right w:w="108" w:type="dxa"/>
          </w:tblCellMar>
        </w:tblPrEx>
        <w:trPr>
          <w:trHeight w:val="345" w:hRule="atLeast"/>
          <w:jc w:val="center"/>
        </w:trPr>
        <w:tc>
          <w:tcPr>
            <w:tcW w:w="2188"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20"/>
                <w:highlight w:val="none"/>
              </w:rPr>
            </w:pPr>
            <w:r>
              <w:rPr>
                <w:rFonts w:hint="eastAsia" w:ascii="宋体" w:hAnsi="宋体" w:cs="宋体"/>
                <w:b/>
                <w:bCs/>
                <w:kern w:val="0"/>
                <w:sz w:val="20"/>
                <w:highlight w:val="none"/>
              </w:rPr>
              <w:t>税费负担</w:t>
            </w:r>
          </w:p>
        </w:tc>
        <w:tc>
          <w:tcPr>
            <w:tcW w:w="218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w:t>
            </w:r>
          </w:p>
        </w:tc>
        <w:tc>
          <w:tcPr>
            <w:tcW w:w="207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w:t>
            </w:r>
          </w:p>
        </w:tc>
        <w:tc>
          <w:tcPr>
            <w:tcW w:w="2073"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highlight w:val="none"/>
              </w:rPr>
            </w:pPr>
            <w:r>
              <w:rPr>
                <w:rFonts w:hint="eastAsia" w:ascii="宋体" w:hAnsi="宋体" w:cs="宋体"/>
                <w:kern w:val="0"/>
                <w:sz w:val="20"/>
                <w:highlight w:val="none"/>
              </w:rPr>
              <w:t>0%</w:t>
            </w:r>
          </w:p>
        </w:tc>
      </w:tr>
      <w:tr>
        <w:tblPrEx>
          <w:tblLayout w:type="fixed"/>
          <w:tblCellMar>
            <w:top w:w="0" w:type="dxa"/>
            <w:left w:w="108" w:type="dxa"/>
            <w:bottom w:w="0" w:type="dxa"/>
            <w:right w:w="108" w:type="dxa"/>
          </w:tblCellMar>
        </w:tblPrEx>
        <w:trPr>
          <w:trHeight w:val="345" w:hRule="atLeast"/>
          <w:jc w:val="center"/>
        </w:trPr>
        <w:tc>
          <w:tcPr>
            <w:tcW w:w="2188" w:type="dxa"/>
            <w:tcBorders>
              <w:top w:val="nil"/>
              <w:left w:val="single" w:color="auto" w:sz="4" w:space="0"/>
              <w:bottom w:val="nil"/>
              <w:right w:val="single" w:color="auto" w:sz="4" w:space="0"/>
            </w:tcBorders>
            <w:noWrap w:val="0"/>
            <w:vAlign w:val="center"/>
          </w:tcPr>
          <w:p>
            <w:pPr>
              <w:widowControl/>
              <w:jc w:val="left"/>
              <w:rPr>
                <w:rFonts w:ascii="宋体" w:hAnsi="宋体" w:cs="宋体"/>
                <w:b/>
                <w:bCs/>
                <w:kern w:val="0"/>
                <w:sz w:val="20"/>
                <w:highlight w:val="none"/>
              </w:rPr>
            </w:pPr>
            <w:r>
              <w:rPr>
                <w:rFonts w:hint="eastAsia" w:ascii="宋体" w:hAnsi="宋体" w:cs="宋体"/>
                <w:b/>
                <w:bCs/>
                <w:kern w:val="0"/>
                <w:sz w:val="20"/>
                <w:highlight w:val="none"/>
              </w:rPr>
              <w:t>价格单位</w:t>
            </w:r>
          </w:p>
        </w:tc>
        <w:tc>
          <w:tcPr>
            <w:tcW w:w="2188"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highlight w:val="none"/>
              </w:rPr>
            </w:pPr>
            <w:r>
              <w:rPr>
                <w:rFonts w:hint="eastAsia" w:ascii="宋体" w:hAnsi="宋体" w:cs="宋体"/>
                <w:kern w:val="0"/>
                <w:sz w:val="20"/>
                <w:highlight w:val="none"/>
              </w:rPr>
              <w:t>0%</w:t>
            </w:r>
          </w:p>
        </w:tc>
        <w:tc>
          <w:tcPr>
            <w:tcW w:w="2073" w:type="dxa"/>
            <w:tcBorders>
              <w:top w:val="nil"/>
              <w:left w:val="nil"/>
              <w:bottom w:val="single" w:color="auto" w:sz="4" w:space="0"/>
              <w:right w:val="single" w:color="auto" w:sz="4" w:space="0"/>
            </w:tcBorders>
            <w:noWrap w:val="0"/>
            <w:vAlign w:val="bottom"/>
          </w:tcPr>
          <w:p>
            <w:pPr>
              <w:widowControl/>
              <w:jc w:val="center"/>
              <w:rPr>
                <w:rFonts w:ascii="宋体" w:hAnsi="宋体" w:cs="宋体"/>
                <w:kern w:val="0"/>
                <w:sz w:val="20"/>
                <w:highlight w:val="none"/>
              </w:rPr>
            </w:pPr>
            <w:r>
              <w:rPr>
                <w:rFonts w:hint="eastAsia" w:ascii="宋体" w:hAnsi="宋体" w:cs="宋体"/>
                <w:kern w:val="0"/>
                <w:sz w:val="20"/>
                <w:highlight w:val="none"/>
              </w:rPr>
              <w:t>0%</w:t>
            </w:r>
          </w:p>
        </w:tc>
        <w:tc>
          <w:tcPr>
            <w:tcW w:w="2073" w:type="dxa"/>
            <w:tcBorders>
              <w:top w:val="nil"/>
              <w:left w:val="nil"/>
              <w:bottom w:val="single" w:color="auto" w:sz="4" w:space="0"/>
              <w:right w:val="single" w:color="auto" w:sz="4" w:space="0"/>
            </w:tcBorders>
            <w:noWrap w:val="0"/>
            <w:vAlign w:val="top"/>
          </w:tcPr>
          <w:p>
            <w:pPr>
              <w:widowControl/>
              <w:jc w:val="center"/>
              <w:rPr>
                <w:rFonts w:ascii="宋体" w:hAnsi="宋体" w:cs="宋体"/>
                <w:kern w:val="0"/>
                <w:sz w:val="20"/>
                <w:highlight w:val="none"/>
              </w:rPr>
            </w:pPr>
            <w:r>
              <w:rPr>
                <w:rFonts w:hint="eastAsia" w:ascii="宋体" w:hAnsi="宋体" w:cs="宋体"/>
                <w:kern w:val="0"/>
                <w:sz w:val="20"/>
                <w:highlight w:val="none"/>
              </w:rPr>
              <w:t>0%</w:t>
            </w:r>
          </w:p>
        </w:tc>
      </w:tr>
      <w:tr>
        <w:tblPrEx>
          <w:tblLayout w:type="fixed"/>
          <w:tblCellMar>
            <w:top w:w="0" w:type="dxa"/>
            <w:left w:w="108" w:type="dxa"/>
            <w:bottom w:w="0" w:type="dxa"/>
            <w:right w:w="108" w:type="dxa"/>
          </w:tblCellMar>
        </w:tblPrEx>
        <w:trPr>
          <w:trHeight w:val="345" w:hRule="atLeast"/>
          <w:jc w:val="center"/>
        </w:trPr>
        <w:tc>
          <w:tcPr>
            <w:tcW w:w="2188"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
                <w:bCs/>
                <w:kern w:val="0"/>
                <w:sz w:val="20"/>
                <w:highlight w:val="none"/>
              </w:rPr>
            </w:pPr>
            <w:r>
              <w:rPr>
                <w:rFonts w:hint="eastAsia" w:ascii="宋体" w:hAnsi="宋体" w:cs="宋体"/>
                <w:b/>
                <w:bCs/>
                <w:kern w:val="0"/>
                <w:sz w:val="20"/>
                <w:highlight w:val="none"/>
              </w:rPr>
              <w:t>可比价格</w:t>
            </w:r>
          </w:p>
        </w:tc>
        <w:tc>
          <w:tcPr>
            <w:tcW w:w="218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2718</w:t>
            </w:r>
          </w:p>
        </w:tc>
        <w:tc>
          <w:tcPr>
            <w:tcW w:w="2073"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2575</w:t>
            </w:r>
          </w:p>
        </w:tc>
        <w:tc>
          <w:tcPr>
            <w:tcW w:w="2073"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kern w:val="0"/>
                <w:sz w:val="20"/>
                <w:highlight w:val="none"/>
                <w:lang w:val="en-US" w:eastAsia="zh-CN"/>
              </w:rPr>
            </w:pPr>
            <w:r>
              <w:rPr>
                <w:rFonts w:hint="eastAsia" w:ascii="宋体" w:hAnsi="宋体" w:cs="宋体"/>
                <w:kern w:val="0"/>
                <w:sz w:val="20"/>
                <w:highlight w:val="none"/>
                <w:lang w:val="en-US" w:eastAsia="zh-CN"/>
              </w:rPr>
              <w:t>2691</w:t>
            </w:r>
          </w:p>
        </w:tc>
      </w:tr>
    </w:tbl>
    <w:p>
      <w:pPr>
        <w:widowControl/>
        <w:spacing w:line="360" w:lineRule="auto"/>
        <w:ind w:firstLine="480" w:firstLineChars="200"/>
        <w:rPr>
          <w:rFonts w:ascii="宋体"/>
          <w:color w:val="000000"/>
          <w:sz w:val="24"/>
          <w:highlight w:val="none"/>
        </w:rPr>
      </w:pPr>
      <w:r>
        <w:rPr>
          <w:rFonts w:hint="eastAsia" w:ascii="宋体" w:hAnsi="宋体"/>
          <w:color w:val="000000"/>
          <w:sz w:val="24"/>
          <w:highlight w:val="none"/>
        </w:rPr>
        <w:t>⑶交易情况修正</w:t>
      </w:r>
    </w:p>
    <w:p>
      <w:pPr>
        <w:pStyle w:val="31"/>
        <w:spacing w:line="360" w:lineRule="auto"/>
        <w:ind w:firstLine="480"/>
        <w:rPr>
          <w:rFonts w:ascii="宋体" w:hAnsi="宋体" w:eastAsia="宋体"/>
          <w:color w:val="000000"/>
          <w:spacing w:val="0"/>
          <w:highlight w:val="none"/>
        </w:rPr>
      </w:pPr>
      <w:r>
        <w:rPr>
          <w:rFonts w:hint="eastAsia" w:ascii="宋体" w:hAnsi="宋体" w:eastAsia="宋体"/>
          <w:color w:val="000000"/>
          <w:spacing w:val="0"/>
          <w:highlight w:val="none"/>
        </w:rPr>
        <w:t>由于房地产具有不可移动性及房地产市场为不完全市场，房地产成交价格易受交易中一些特殊因素的影响，从而使其偏离正常的市场价格。因此必须对偏离正常市场价格的可比实例进行交易情况修正。</w:t>
      </w:r>
    </w:p>
    <w:p>
      <w:pPr>
        <w:pStyle w:val="31"/>
        <w:spacing w:line="360" w:lineRule="auto"/>
        <w:ind w:firstLine="480"/>
        <w:rPr>
          <w:rFonts w:ascii="宋体" w:hAnsi="宋体" w:eastAsia="宋体"/>
          <w:color w:val="000000"/>
          <w:spacing w:val="0"/>
          <w:highlight w:val="none"/>
        </w:rPr>
      </w:pPr>
      <w:r>
        <w:rPr>
          <w:rFonts w:hint="eastAsia" w:ascii="宋体" w:hAnsi="宋体" w:eastAsia="宋体"/>
          <w:color w:val="000000"/>
          <w:spacing w:val="0"/>
          <w:highlight w:val="none"/>
        </w:rPr>
        <w:t>交易情况说明如下表所示：</w:t>
      </w:r>
    </w:p>
    <w:tbl>
      <w:tblPr>
        <w:tblStyle w:val="40"/>
        <w:tblW w:w="8626" w:type="dxa"/>
        <w:tblInd w:w="108" w:type="dxa"/>
        <w:tblLayout w:type="fixed"/>
        <w:tblCellMar>
          <w:top w:w="0" w:type="dxa"/>
          <w:left w:w="108" w:type="dxa"/>
          <w:bottom w:w="0" w:type="dxa"/>
          <w:right w:w="108" w:type="dxa"/>
        </w:tblCellMar>
      </w:tblPr>
      <w:tblGrid>
        <w:gridCol w:w="819"/>
        <w:gridCol w:w="1767"/>
        <w:gridCol w:w="1492"/>
        <w:gridCol w:w="1560"/>
        <w:gridCol w:w="1516"/>
        <w:gridCol w:w="1472"/>
      </w:tblGrid>
      <w:tr>
        <w:tblPrEx>
          <w:tblLayout w:type="fixed"/>
          <w:tblCellMar>
            <w:top w:w="0" w:type="dxa"/>
            <w:left w:w="108" w:type="dxa"/>
            <w:bottom w:w="0" w:type="dxa"/>
            <w:right w:w="108" w:type="dxa"/>
          </w:tblCellMar>
        </w:tblPrEx>
        <w:trPr>
          <w:trHeight w:val="20" w:hRule="atLeast"/>
        </w:trPr>
        <w:tc>
          <w:tcPr>
            <w:tcW w:w="2586" w:type="dxa"/>
            <w:gridSpan w:val="2"/>
            <w:tcBorders>
              <w:top w:val="single" w:color="auto" w:sz="8" w:space="0"/>
              <w:left w:val="single" w:color="auto" w:sz="8" w:space="0"/>
              <w:bottom w:val="single" w:color="auto" w:sz="8" w:space="0"/>
              <w:right w:val="single" w:color="000000" w:sz="8" w:space="0"/>
            </w:tcBorders>
            <w:noWrap w:val="0"/>
            <w:vAlign w:val="bottom"/>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项目</w:t>
            </w:r>
          </w:p>
        </w:tc>
        <w:tc>
          <w:tcPr>
            <w:tcW w:w="1492" w:type="dxa"/>
            <w:tcBorders>
              <w:top w:val="single" w:color="auto" w:sz="8" w:space="0"/>
              <w:left w:val="nil"/>
              <w:bottom w:val="single" w:color="auto" w:sz="8"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估价对象</w:t>
            </w:r>
          </w:p>
        </w:tc>
        <w:tc>
          <w:tcPr>
            <w:tcW w:w="1560" w:type="dxa"/>
            <w:tcBorders>
              <w:top w:val="single" w:color="auto" w:sz="8" w:space="0"/>
              <w:left w:val="nil"/>
              <w:bottom w:val="single" w:color="auto" w:sz="8"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A</w:t>
            </w:r>
          </w:p>
        </w:tc>
        <w:tc>
          <w:tcPr>
            <w:tcW w:w="1516" w:type="dxa"/>
            <w:tcBorders>
              <w:top w:val="single" w:color="auto" w:sz="8" w:space="0"/>
              <w:left w:val="nil"/>
              <w:bottom w:val="single" w:color="auto" w:sz="8"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B</w:t>
            </w:r>
          </w:p>
        </w:tc>
        <w:tc>
          <w:tcPr>
            <w:tcW w:w="1472" w:type="dxa"/>
            <w:tcBorders>
              <w:top w:val="single" w:color="auto" w:sz="8" w:space="0"/>
              <w:left w:val="nil"/>
              <w:bottom w:val="single" w:color="auto" w:sz="8"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C</w:t>
            </w:r>
          </w:p>
        </w:tc>
      </w:tr>
      <w:tr>
        <w:tblPrEx>
          <w:tblLayout w:type="fixed"/>
          <w:tblCellMar>
            <w:top w:w="0" w:type="dxa"/>
            <w:left w:w="108" w:type="dxa"/>
            <w:bottom w:w="0" w:type="dxa"/>
            <w:right w:w="108" w:type="dxa"/>
          </w:tblCellMar>
        </w:tblPrEx>
        <w:trPr>
          <w:trHeight w:val="20" w:hRule="atLeast"/>
        </w:trPr>
        <w:tc>
          <w:tcPr>
            <w:tcW w:w="819" w:type="dxa"/>
            <w:vMerge w:val="restart"/>
            <w:tcBorders>
              <w:top w:val="nil"/>
              <w:left w:val="single" w:color="auto" w:sz="8" w:space="0"/>
              <w:bottom w:val="single" w:color="000000" w:sz="8" w:space="0"/>
              <w:right w:val="single" w:color="auto" w:sz="8" w:space="0"/>
            </w:tcBorders>
            <w:noWrap w:val="0"/>
            <w:vAlign w:val="center"/>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交易情况</w:t>
            </w:r>
          </w:p>
        </w:tc>
        <w:tc>
          <w:tcPr>
            <w:tcW w:w="1767" w:type="dxa"/>
            <w:tcBorders>
              <w:top w:val="nil"/>
              <w:left w:val="nil"/>
              <w:bottom w:val="single" w:color="auto" w:sz="8" w:space="0"/>
              <w:right w:val="single" w:color="auto" w:sz="8" w:space="0"/>
            </w:tcBorders>
            <w:noWrap w:val="0"/>
            <w:vAlign w:val="center"/>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期现房状态</w:t>
            </w:r>
          </w:p>
        </w:tc>
        <w:tc>
          <w:tcPr>
            <w:tcW w:w="1492" w:type="dxa"/>
            <w:tcBorders>
              <w:top w:val="nil"/>
              <w:left w:val="nil"/>
              <w:bottom w:val="single" w:color="auto" w:sz="8" w:space="0"/>
              <w:right w:val="single" w:color="auto" w:sz="8" w:space="0"/>
            </w:tcBorders>
            <w:noWrap w:val="0"/>
            <w:vAlign w:val="center"/>
          </w:tcPr>
          <w:p>
            <w:pPr>
              <w:widowControl/>
              <w:jc w:val="center"/>
              <w:rPr>
                <w:rFonts w:ascii="宋体" w:cs="宋体"/>
                <w:color w:val="000000"/>
                <w:kern w:val="0"/>
                <w:sz w:val="20"/>
                <w:highlight w:val="none"/>
              </w:rPr>
            </w:pPr>
            <w:r>
              <w:rPr>
                <w:rFonts w:hint="eastAsia" w:ascii="宋体" w:hAnsi="宋体" w:cs="宋体"/>
                <w:color w:val="000000"/>
                <w:kern w:val="0"/>
                <w:sz w:val="20"/>
                <w:highlight w:val="none"/>
              </w:rPr>
              <w:t>现房</w:t>
            </w:r>
          </w:p>
        </w:tc>
        <w:tc>
          <w:tcPr>
            <w:tcW w:w="1560" w:type="dxa"/>
            <w:tcBorders>
              <w:top w:val="nil"/>
              <w:left w:val="nil"/>
              <w:bottom w:val="single" w:color="auto" w:sz="8" w:space="0"/>
              <w:right w:val="single" w:color="auto" w:sz="8" w:space="0"/>
            </w:tcBorders>
            <w:noWrap w:val="0"/>
            <w:vAlign w:val="center"/>
          </w:tcPr>
          <w:p>
            <w:pPr>
              <w:widowControl/>
              <w:jc w:val="center"/>
              <w:rPr>
                <w:rFonts w:ascii="宋体" w:cs="宋体"/>
                <w:color w:val="000000"/>
                <w:kern w:val="0"/>
                <w:sz w:val="20"/>
                <w:highlight w:val="none"/>
              </w:rPr>
            </w:pPr>
            <w:r>
              <w:rPr>
                <w:rFonts w:hint="eastAsia" w:ascii="宋体" w:hAnsi="宋体" w:cs="宋体"/>
                <w:color w:val="000000"/>
                <w:kern w:val="0"/>
                <w:sz w:val="20"/>
                <w:highlight w:val="none"/>
              </w:rPr>
              <w:t>现房</w:t>
            </w:r>
          </w:p>
        </w:tc>
        <w:tc>
          <w:tcPr>
            <w:tcW w:w="1516" w:type="dxa"/>
            <w:tcBorders>
              <w:top w:val="nil"/>
              <w:left w:val="nil"/>
              <w:bottom w:val="single" w:color="auto" w:sz="8" w:space="0"/>
              <w:right w:val="single" w:color="auto" w:sz="8" w:space="0"/>
            </w:tcBorders>
            <w:noWrap w:val="0"/>
            <w:vAlign w:val="center"/>
          </w:tcPr>
          <w:p>
            <w:pPr>
              <w:widowControl/>
              <w:jc w:val="center"/>
              <w:rPr>
                <w:rFonts w:ascii="宋体" w:cs="宋体"/>
                <w:color w:val="000000"/>
                <w:kern w:val="0"/>
                <w:sz w:val="20"/>
                <w:highlight w:val="none"/>
              </w:rPr>
            </w:pPr>
            <w:r>
              <w:rPr>
                <w:rFonts w:hint="eastAsia" w:ascii="宋体" w:hAnsi="宋体" w:cs="宋体"/>
                <w:color w:val="000000"/>
                <w:kern w:val="0"/>
                <w:sz w:val="20"/>
                <w:highlight w:val="none"/>
              </w:rPr>
              <w:t>现房</w:t>
            </w:r>
          </w:p>
        </w:tc>
        <w:tc>
          <w:tcPr>
            <w:tcW w:w="1472" w:type="dxa"/>
            <w:tcBorders>
              <w:top w:val="nil"/>
              <w:left w:val="nil"/>
              <w:bottom w:val="single" w:color="auto" w:sz="8" w:space="0"/>
              <w:right w:val="single" w:color="auto" w:sz="8" w:space="0"/>
            </w:tcBorders>
            <w:noWrap w:val="0"/>
            <w:vAlign w:val="center"/>
          </w:tcPr>
          <w:p>
            <w:pPr>
              <w:widowControl/>
              <w:jc w:val="center"/>
              <w:rPr>
                <w:rFonts w:ascii="宋体" w:cs="宋体"/>
                <w:color w:val="000000"/>
                <w:kern w:val="0"/>
                <w:sz w:val="20"/>
                <w:highlight w:val="none"/>
              </w:rPr>
            </w:pPr>
            <w:r>
              <w:rPr>
                <w:rFonts w:hint="eastAsia" w:ascii="宋体" w:hAnsi="宋体" w:cs="宋体"/>
                <w:color w:val="000000"/>
                <w:kern w:val="0"/>
                <w:sz w:val="20"/>
                <w:highlight w:val="none"/>
              </w:rPr>
              <w:t>现房</w:t>
            </w:r>
          </w:p>
        </w:tc>
      </w:tr>
      <w:tr>
        <w:tblPrEx>
          <w:tblLayout w:type="fixed"/>
          <w:tblCellMar>
            <w:top w:w="0" w:type="dxa"/>
            <w:left w:w="108" w:type="dxa"/>
            <w:bottom w:w="0" w:type="dxa"/>
            <w:right w:w="108" w:type="dxa"/>
          </w:tblCellMar>
        </w:tblPrEx>
        <w:trPr>
          <w:trHeight w:val="20" w:hRule="atLeast"/>
        </w:trPr>
        <w:tc>
          <w:tcPr>
            <w:tcW w:w="819" w:type="dxa"/>
            <w:vMerge w:val="continue"/>
            <w:tcBorders>
              <w:top w:val="nil"/>
              <w:left w:val="single" w:color="auto" w:sz="8" w:space="0"/>
              <w:bottom w:val="single" w:color="000000" w:sz="8" w:space="0"/>
              <w:right w:val="single" w:color="auto" w:sz="8" w:space="0"/>
            </w:tcBorders>
            <w:noWrap w:val="0"/>
            <w:vAlign w:val="center"/>
          </w:tcPr>
          <w:p>
            <w:pPr>
              <w:widowControl/>
              <w:jc w:val="left"/>
              <w:rPr>
                <w:rFonts w:ascii="宋体" w:cs="宋体"/>
                <w:b/>
                <w:bCs/>
                <w:color w:val="000000"/>
                <w:kern w:val="0"/>
                <w:sz w:val="20"/>
                <w:highlight w:val="none"/>
              </w:rPr>
            </w:pPr>
          </w:p>
        </w:tc>
        <w:tc>
          <w:tcPr>
            <w:tcW w:w="1767" w:type="dxa"/>
            <w:tcBorders>
              <w:top w:val="nil"/>
              <w:left w:val="nil"/>
              <w:bottom w:val="single" w:color="auto" w:sz="8" w:space="0"/>
              <w:right w:val="single" w:color="auto" w:sz="8" w:space="0"/>
            </w:tcBorders>
            <w:noWrap w:val="0"/>
            <w:vAlign w:val="center"/>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价格类型</w:t>
            </w:r>
          </w:p>
        </w:tc>
        <w:tc>
          <w:tcPr>
            <w:tcW w:w="1492" w:type="dxa"/>
            <w:tcBorders>
              <w:top w:val="nil"/>
              <w:left w:val="nil"/>
              <w:bottom w:val="single" w:color="auto" w:sz="8" w:space="0"/>
              <w:right w:val="single" w:color="auto" w:sz="8" w:space="0"/>
            </w:tcBorders>
            <w:noWrap w:val="0"/>
            <w:vAlign w:val="center"/>
          </w:tcPr>
          <w:p>
            <w:pPr>
              <w:widowControl/>
              <w:jc w:val="center"/>
              <w:rPr>
                <w:rFonts w:ascii="宋体" w:cs="宋体"/>
                <w:color w:val="000000"/>
                <w:kern w:val="0"/>
                <w:sz w:val="20"/>
                <w:highlight w:val="none"/>
              </w:rPr>
            </w:pPr>
            <w:r>
              <w:rPr>
                <w:rFonts w:hint="eastAsia" w:ascii="宋体" w:hAnsi="宋体" w:cs="宋体"/>
                <w:color w:val="000000"/>
                <w:kern w:val="0"/>
                <w:sz w:val="20"/>
                <w:highlight w:val="none"/>
              </w:rPr>
              <w:t>二手成交价</w:t>
            </w:r>
          </w:p>
        </w:tc>
        <w:tc>
          <w:tcPr>
            <w:tcW w:w="1560" w:type="dxa"/>
            <w:tcBorders>
              <w:top w:val="nil"/>
              <w:left w:val="nil"/>
              <w:bottom w:val="single" w:color="auto" w:sz="8" w:space="0"/>
              <w:right w:val="single" w:color="auto" w:sz="8" w:space="0"/>
            </w:tcBorders>
            <w:noWrap w:val="0"/>
            <w:vAlign w:val="center"/>
          </w:tcPr>
          <w:p>
            <w:pPr>
              <w:widowControl/>
              <w:jc w:val="center"/>
              <w:rPr>
                <w:rFonts w:ascii="宋体" w:cs="宋体"/>
                <w:color w:val="000000"/>
                <w:kern w:val="0"/>
                <w:sz w:val="20"/>
                <w:highlight w:val="none"/>
              </w:rPr>
            </w:pPr>
            <w:r>
              <w:rPr>
                <w:rFonts w:hint="eastAsia" w:ascii="宋体" w:hAnsi="宋体" w:cs="宋体"/>
                <w:color w:val="000000"/>
                <w:kern w:val="0"/>
                <w:sz w:val="20"/>
                <w:highlight w:val="none"/>
              </w:rPr>
              <w:t>二手报价</w:t>
            </w:r>
          </w:p>
        </w:tc>
        <w:tc>
          <w:tcPr>
            <w:tcW w:w="1516" w:type="dxa"/>
            <w:tcBorders>
              <w:top w:val="nil"/>
              <w:left w:val="nil"/>
              <w:bottom w:val="single" w:color="auto" w:sz="8" w:space="0"/>
              <w:right w:val="single" w:color="auto" w:sz="8" w:space="0"/>
            </w:tcBorders>
            <w:noWrap w:val="0"/>
            <w:vAlign w:val="center"/>
          </w:tcPr>
          <w:p>
            <w:pPr>
              <w:widowControl/>
              <w:jc w:val="center"/>
              <w:rPr>
                <w:rFonts w:ascii="宋体" w:cs="宋体"/>
                <w:color w:val="000000"/>
                <w:kern w:val="0"/>
                <w:sz w:val="20"/>
                <w:highlight w:val="none"/>
              </w:rPr>
            </w:pPr>
            <w:r>
              <w:rPr>
                <w:rFonts w:hint="eastAsia" w:ascii="宋体" w:hAnsi="宋体" w:cs="宋体"/>
                <w:color w:val="000000"/>
                <w:kern w:val="0"/>
                <w:sz w:val="20"/>
                <w:highlight w:val="none"/>
              </w:rPr>
              <w:t>二手报价</w:t>
            </w:r>
          </w:p>
        </w:tc>
        <w:tc>
          <w:tcPr>
            <w:tcW w:w="1472" w:type="dxa"/>
            <w:tcBorders>
              <w:top w:val="nil"/>
              <w:left w:val="nil"/>
              <w:bottom w:val="single" w:color="auto" w:sz="8" w:space="0"/>
              <w:right w:val="single" w:color="auto" w:sz="8" w:space="0"/>
            </w:tcBorders>
            <w:noWrap w:val="0"/>
            <w:vAlign w:val="center"/>
          </w:tcPr>
          <w:p>
            <w:pPr>
              <w:widowControl/>
              <w:jc w:val="center"/>
              <w:rPr>
                <w:rFonts w:ascii="宋体" w:cs="宋体"/>
                <w:color w:val="000000"/>
                <w:kern w:val="0"/>
                <w:sz w:val="20"/>
                <w:highlight w:val="none"/>
              </w:rPr>
            </w:pPr>
            <w:r>
              <w:rPr>
                <w:rFonts w:hint="eastAsia" w:ascii="宋体" w:hAnsi="宋体" w:cs="宋体"/>
                <w:color w:val="000000"/>
                <w:kern w:val="0"/>
                <w:sz w:val="20"/>
                <w:highlight w:val="none"/>
              </w:rPr>
              <w:t>二手报价</w:t>
            </w:r>
          </w:p>
        </w:tc>
      </w:tr>
    </w:tbl>
    <w:p>
      <w:pPr>
        <w:widowControl/>
        <w:ind w:firstLine="480" w:firstLineChars="200"/>
        <w:rPr>
          <w:rFonts w:ascii="宋体"/>
          <w:color w:val="000000"/>
          <w:sz w:val="24"/>
          <w:highlight w:val="none"/>
        </w:rPr>
      </w:pPr>
      <w:r>
        <w:rPr>
          <w:rFonts w:hint="eastAsia" w:ascii="宋体" w:hAnsi="宋体"/>
          <w:color w:val="000000"/>
          <w:sz w:val="24"/>
          <w:highlight w:val="none"/>
        </w:rPr>
        <w:t>交易情况修正如下表所示：</w:t>
      </w:r>
    </w:p>
    <w:tbl>
      <w:tblPr>
        <w:tblStyle w:val="40"/>
        <w:tblW w:w="8626" w:type="dxa"/>
        <w:tblInd w:w="108" w:type="dxa"/>
        <w:tblLayout w:type="fixed"/>
        <w:tblCellMar>
          <w:top w:w="0" w:type="dxa"/>
          <w:left w:w="108" w:type="dxa"/>
          <w:bottom w:w="0" w:type="dxa"/>
          <w:right w:w="108" w:type="dxa"/>
        </w:tblCellMar>
      </w:tblPr>
      <w:tblGrid>
        <w:gridCol w:w="1744"/>
        <w:gridCol w:w="1580"/>
        <w:gridCol w:w="1944"/>
        <w:gridCol w:w="1679"/>
        <w:gridCol w:w="1679"/>
      </w:tblGrid>
      <w:tr>
        <w:tblPrEx>
          <w:tblLayout w:type="fixed"/>
          <w:tblCellMar>
            <w:top w:w="0" w:type="dxa"/>
            <w:left w:w="108" w:type="dxa"/>
            <w:bottom w:w="0" w:type="dxa"/>
            <w:right w:w="108" w:type="dxa"/>
          </w:tblCellMar>
        </w:tblPrEx>
        <w:trPr>
          <w:trHeight w:val="20" w:hRule="atLeast"/>
        </w:trPr>
        <w:tc>
          <w:tcPr>
            <w:tcW w:w="3324" w:type="dxa"/>
            <w:gridSpan w:val="2"/>
            <w:tcBorders>
              <w:top w:val="single" w:color="auto" w:sz="8" w:space="0"/>
              <w:left w:val="single" w:color="auto" w:sz="8" w:space="0"/>
              <w:bottom w:val="single" w:color="auto" w:sz="8" w:space="0"/>
              <w:right w:val="single" w:color="000000" w:sz="8" w:space="0"/>
            </w:tcBorders>
            <w:noWrap w:val="0"/>
            <w:vAlign w:val="bottom"/>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项目</w:t>
            </w:r>
          </w:p>
        </w:tc>
        <w:tc>
          <w:tcPr>
            <w:tcW w:w="1944" w:type="dxa"/>
            <w:tcBorders>
              <w:top w:val="single" w:color="auto" w:sz="8" w:space="0"/>
              <w:left w:val="nil"/>
              <w:bottom w:val="single" w:color="auto" w:sz="6"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A</w:t>
            </w:r>
          </w:p>
        </w:tc>
        <w:tc>
          <w:tcPr>
            <w:tcW w:w="1679" w:type="dxa"/>
            <w:tcBorders>
              <w:top w:val="single" w:color="auto" w:sz="8" w:space="0"/>
              <w:left w:val="single" w:color="auto" w:sz="8" w:space="0"/>
              <w:bottom w:val="single" w:color="auto" w:sz="8"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B</w:t>
            </w:r>
          </w:p>
        </w:tc>
        <w:tc>
          <w:tcPr>
            <w:tcW w:w="1679" w:type="dxa"/>
            <w:tcBorders>
              <w:top w:val="single" w:color="auto" w:sz="8" w:space="0"/>
              <w:left w:val="nil"/>
              <w:bottom w:val="single" w:color="auto" w:sz="8"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C</w:t>
            </w:r>
          </w:p>
        </w:tc>
      </w:tr>
      <w:tr>
        <w:tblPrEx>
          <w:tblLayout w:type="fixed"/>
          <w:tblCellMar>
            <w:top w:w="0" w:type="dxa"/>
            <w:left w:w="108" w:type="dxa"/>
            <w:bottom w:w="0" w:type="dxa"/>
            <w:right w:w="108" w:type="dxa"/>
          </w:tblCellMar>
        </w:tblPrEx>
        <w:trPr>
          <w:trHeight w:val="20" w:hRule="atLeast"/>
        </w:trPr>
        <w:tc>
          <w:tcPr>
            <w:tcW w:w="1744" w:type="dxa"/>
            <w:vMerge w:val="restart"/>
            <w:tcBorders>
              <w:top w:val="nil"/>
              <w:left w:val="single" w:color="auto" w:sz="8" w:space="0"/>
              <w:bottom w:val="single" w:color="000000" w:sz="8" w:space="0"/>
              <w:right w:val="single" w:color="auto" w:sz="8" w:space="0"/>
            </w:tcBorders>
            <w:noWrap w:val="0"/>
            <w:vAlign w:val="center"/>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交易情况修正</w:t>
            </w:r>
          </w:p>
        </w:tc>
        <w:tc>
          <w:tcPr>
            <w:tcW w:w="1580" w:type="dxa"/>
            <w:tcBorders>
              <w:top w:val="nil"/>
              <w:left w:val="nil"/>
              <w:bottom w:val="single" w:color="auto" w:sz="8" w:space="0"/>
              <w:right w:val="single" w:color="auto" w:sz="8" w:space="0"/>
            </w:tcBorders>
            <w:noWrap w:val="0"/>
            <w:vAlign w:val="center"/>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期现房状态</w:t>
            </w:r>
          </w:p>
        </w:tc>
        <w:tc>
          <w:tcPr>
            <w:tcW w:w="1944" w:type="dxa"/>
            <w:tcBorders>
              <w:top w:val="single" w:color="auto" w:sz="6" w:space="0"/>
              <w:left w:val="nil"/>
              <w:bottom w:val="single" w:color="auto" w:sz="6" w:space="0"/>
              <w:right w:val="single" w:color="auto" w:sz="8" w:space="0"/>
            </w:tcBorders>
            <w:noWrap w:val="0"/>
            <w:vAlign w:val="top"/>
          </w:tcPr>
          <w:p>
            <w:pPr>
              <w:widowControl/>
              <w:jc w:val="center"/>
              <w:rPr>
                <w:rFonts w:ascii="宋体" w:cs="宋体"/>
                <w:color w:val="000000"/>
                <w:kern w:val="0"/>
                <w:sz w:val="20"/>
                <w:highlight w:val="none"/>
              </w:rPr>
            </w:pPr>
            <w:r>
              <w:rPr>
                <w:rFonts w:ascii="宋体" w:hAnsi="宋体" w:cs="宋体"/>
                <w:color w:val="000000"/>
                <w:kern w:val="0"/>
                <w:sz w:val="20"/>
                <w:highlight w:val="none"/>
              </w:rPr>
              <w:t>0%</w:t>
            </w:r>
          </w:p>
        </w:tc>
        <w:tc>
          <w:tcPr>
            <w:tcW w:w="1679" w:type="dxa"/>
            <w:tcBorders>
              <w:top w:val="nil"/>
              <w:left w:val="single" w:color="auto" w:sz="8" w:space="0"/>
              <w:bottom w:val="single" w:color="auto" w:sz="8" w:space="0"/>
              <w:right w:val="single" w:color="auto" w:sz="8" w:space="0"/>
            </w:tcBorders>
            <w:noWrap w:val="0"/>
            <w:vAlign w:val="bottom"/>
          </w:tcPr>
          <w:p>
            <w:pPr>
              <w:widowControl/>
              <w:jc w:val="center"/>
              <w:rPr>
                <w:rFonts w:ascii="宋体" w:cs="宋体"/>
                <w:color w:val="000000"/>
                <w:kern w:val="0"/>
                <w:sz w:val="20"/>
                <w:highlight w:val="none"/>
              </w:rPr>
            </w:pPr>
            <w:r>
              <w:rPr>
                <w:rFonts w:ascii="宋体" w:hAnsi="宋体" w:cs="宋体"/>
                <w:color w:val="000000"/>
                <w:kern w:val="0"/>
                <w:sz w:val="20"/>
                <w:highlight w:val="none"/>
              </w:rPr>
              <w:t>0%</w:t>
            </w:r>
          </w:p>
        </w:tc>
        <w:tc>
          <w:tcPr>
            <w:tcW w:w="1679" w:type="dxa"/>
            <w:tcBorders>
              <w:top w:val="nil"/>
              <w:left w:val="nil"/>
              <w:bottom w:val="single" w:color="auto" w:sz="8" w:space="0"/>
              <w:right w:val="single" w:color="auto" w:sz="8" w:space="0"/>
            </w:tcBorders>
            <w:noWrap w:val="0"/>
            <w:vAlign w:val="bottom"/>
          </w:tcPr>
          <w:p>
            <w:pPr>
              <w:widowControl/>
              <w:jc w:val="center"/>
              <w:rPr>
                <w:rFonts w:ascii="宋体" w:cs="宋体"/>
                <w:color w:val="000000"/>
                <w:kern w:val="0"/>
                <w:sz w:val="20"/>
                <w:highlight w:val="none"/>
              </w:rPr>
            </w:pPr>
            <w:r>
              <w:rPr>
                <w:rFonts w:ascii="宋体" w:hAnsi="宋体" w:cs="宋体"/>
                <w:color w:val="000000"/>
                <w:kern w:val="0"/>
                <w:sz w:val="20"/>
                <w:highlight w:val="none"/>
              </w:rPr>
              <w:t>0%</w:t>
            </w:r>
          </w:p>
        </w:tc>
      </w:tr>
      <w:tr>
        <w:tblPrEx>
          <w:tblLayout w:type="fixed"/>
          <w:tblCellMar>
            <w:top w:w="0" w:type="dxa"/>
            <w:left w:w="108" w:type="dxa"/>
            <w:bottom w:w="0" w:type="dxa"/>
            <w:right w:w="108" w:type="dxa"/>
          </w:tblCellMar>
        </w:tblPrEx>
        <w:trPr>
          <w:trHeight w:val="20" w:hRule="atLeast"/>
        </w:trPr>
        <w:tc>
          <w:tcPr>
            <w:tcW w:w="1744" w:type="dxa"/>
            <w:vMerge w:val="continue"/>
            <w:tcBorders>
              <w:top w:val="nil"/>
              <w:left w:val="single" w:color="auto" w:sz="8" w:space="0"/>
              <w:bottom w:val="single" w:color="000000" w:sz="8" w:space="0"/>
              <w:right w:val="single" w:color="auto" w:sz="8" w:space="0"/>
            </w:tcBorders>
            <w:noWrap w:val="0"/>
            <w:vAlign w:val="center"/>
          </w:tcPr>
          <w:p>
            <w:pPr>
              <w:widowControl/>
              <w:jc w:val="left"/>
              <w:rPr>
                <w:rFonts w:ascii="宋体" w:cs="宋体"/>
                <w:b/>
                <w:bCs/>
                <w:color w:val="000000"/>
                <w:kern w:val="0"/>
                <w:sz w:val="20"/>
                <w:highlight w:val="none"/>
              </w:rPr>
            </w:pPr>
          </w:p>
        </w:tc>
        <w:tc>
          <w:tcPr>
            <w:tcW w:w="1580" w:type="dxa"/>
            <w:tcBorders>
              <w:top w:val="nil"/>
              <w:left w:val="nil"/>
              <w:bottom w:val="single" w:color="auto" w:sz="8" w:space="0"/>
              <w:right w:val="single" w:color="auto" w:sz="8" w:space="0"/>
            </w:tcBorders>
            <w:noWrap w:val="0"/>
            <w:vAlign w:val="center"/>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价格类型</w:t>
            </w:r>
          </w:p>
        </w:tc>
        <w:tc>
          <w:tcPr>
            <w:tcW w:w="1944" w:type="dxa"/>
            <w:tcBorders>
              <w:top w:val="single" w:color="auto" w:sz="6" w:space="0"/>
              <w:left w:val="nil"/>
              <w:bottom w:val="single" w:color="auto" w:sz="6" w:space="0"/>
              <w:right w:val="single" w:color="auto" w:sz="8" w:space="0"/>
            </w:tcBorders>
            <w:noWrap w:val="0"/>
            <w:vAlign w:val="top"/>
          </w:tcPr>
          <w:p>
            <w:pPr>
              <w:widowControl/>
              <w:jc w:val="center"/>
              <w:rPr>
                <w:rFonts w:ascii="宋体" w:cs="宋体"/>
                <w:color w:val="000000"/>
                <w:kern w:val="0"/>
                <w:sz w:val="20"/>
                <w:highlight w:val="none"/>
              </w:rPr>
            </w:pPr>
            <w:r>
              <w:rPr>
                <w:rFonts w:hint="eastAsia" w:ascii="宋体" w:hAnsi="宋体" w:cs="宋体"/>
                <w:color w:val="000000"/>
                <w:kern w:val="0"/>
                <w:sz w:val="20"/>
                <w:highlight w:val="none"/>
                <w:lang w:val="en-US" w:eastAsia="zh-CN"/>
              </w:rPr>
              <w:t>1</w:t>
            </w:r>
            <w:r>
              <w:rPr>
                <w:rFonts w:ascii="宋体" w:hAnsi="宋体" w:cs="宋体"/>
                <w:color w:val="000000"/>
                <w:kern w:val="0"/>
                <w:sz w:val="20"/>
                <w:highlight w:val="none"/>
              </w:rPr>
              <w:t>%</w:t>
            </w:r>
          </w:p>
        </w:tc>
        <w:tc>
          <w:tcPr>
            <w:tcW w:w="1679" w:type="dxa"/>
            <w:tcBorders>
              <w:top w:val="nil"/>
              <w:left w:val="single" w:color="auto" w:sz="8" w:space="0"/>
              <w:bottom w:val="single" w:color="auto" w:sz="8" w:space="0"/>
              <w:right w:val="single" w:color="auto" w:sz="8" w:space="0"/>
            </w:tcBorders>
            <w:noWrap w:val="0"/>
            <w:vAlign w:val="top"/>
          </w:tcPr>
          <w:p>
            <w:pPr>
              <w:widowControl/>
              <w:jc w:val="center"/>
              <w:rPr>
                <w:rFonts w:ascii="宋体" w:cs="宋体"/>
                <w:color w:val="000000"/>
                <w:kern w:val="0"/>
                <w:sz w:val="20"/>
                <w:highlight w:val="none"/>
              </w:rPr>
            </w:pPr>
            <w:r>
              <w:rPr>
                <w:rFonts w:hint="eastAsia" w:ascii="宋体" w:hAnsi="宋体" w:cs="宋体"/>
                <w:color w:val="000000"/>
                <w:kern w:val="0"/>
                <w:sz w:val="20"/>
                <w:highlight w:val="none"/>
                <w:lang w:val="en-US" w:eastAsia="zh-CN"/>
              </w:rPr>
              <w:t>1</w:t>
            </w:r>
            <w:r>
              <w:rPr>
                <w:rFonts w:ascii="宋体" w:hAnsi="宋体" w:cs="宋体"/>
                <w:color w:val="000000"/>
                <w:kern w:val="0"/>
                <w:sz w:val="20"/>
                <w:highlight w:val="none"/>
              </w:rPr>
              <w:t>%</w:t>
            </w:r>
          </w:p>
        </w:tc>
        <w:tc>
          <w:tcPr>
            <w:tcW w:w="1679" w:type="dxa"/>
            <w:tcBorders>
              <w:top w:val="nil"/>
              <w:left w:val="nil"/>
              <w:bottom w:val="single" w:color="auto" w:sz="8" w:space="0"/>
              <w:right w:val="single" w:color="auto" w:sz="8" w:space="0"/>
            </w:tcBorders>
            <w:noWrap w:val="0"/>
            <w:vAlign w:val="top"/>
          </w:tcPr>
          <w:p>
            <w:pPr>
              <w:widowControl/>
              <w:jc w:val="center"/>
              <w:rPr>
                <w:rFonts w:ascii="宋体" w:cs="宋体"/>
                <w:color w:val="000000"/>
                <w:kern w:val="0"/>
                <w:sz w:val="20"/>
                <w:highlight w:val="none"/>
              </w:rPr>
            </w:pPr>
            <w:r>
              <w:rPr>
                <w:rFonts w:hint="eastAsia" w:ascii="宋体" w:hAnsi="宋体" w:cs="宋体"/>
                <w:color w:val="000000"/>
                <w:kern w:val="0"/>
                <w:sz w:val="20"/>
                <w:highlight w:val="none"/>
                <w:lang w:val="en-US" w:eastAsia="zh-CN"/>
              </w:rPr>
              <w:t>1</w:t>
            </w:r>
            <w:r>
              <w:rPr>
                <w:rFonts w:ascii="宋体" w:hAnsi="宋体" w:cs="宋体"/>
                <w:color w:val="000000"/>
                <w:kern w:val="0"/>
                <w:sz w:val="20"/>
                <w:highlight w:val="none"/>
              </w:rPr>
              <w:t>%</w:t>
            </w:r>
          </w:p>
        </w:tc>
      </w:tr>
      <w:tr>
        <w:tblPrEx>
          <w:tblLayout w:type="fixed"/>
          <w:tblCellMar>
            <w:top w:w="0" w:type="dxa"/>
            <w:left w:w="108" w:type="dxa"/>
            <w:bottom w:w="0" w:type="dxa"/>
            <w:right w:w="108" w:type="dxa"/>
          </w:tblCellMar>
        </w:tblPrEx>
        <w:trPr>
          <w:trHeight w:val="20" w:hRule="atLeast"/>
        </w:trPr>
        <w:tc>
          <w:tcPr>
            <w:tcW w:w="3324" w:type="dxa"/>
            <w:gridSpan w:val="2"/>
            <w:tcBorders>
              <w:top w:val="single" w:color="auto" w:sz="8" w:space="0"/>
              <w:left w:val="single" w:color="auto" w:sz="8" w:space="0"/>
              <w:bottom w:val="single" w:color="auto" w:sz="8" w:space="0"/>
              <w:right w:val="single" w:color="000000" w:sz="8" w:space="0"/>
            </w:tcBorders>
            <w:noWrap w:val="0"/>
            <w:vAlign w:val="center"/>
          </w:tcPr>
          <w:p>
            <w:pPr>
              <w:widowControl/>
              <w:jc w:val="center"/>
              <w:rPr>
                <w:rFonts w:ascii="宋体" w:cs="宋体"/>
                <w:b/>
                <w:bCs/>
                <w:color w:val="000000"/>
                <w:kern w:val="0"/>
                <w:sz w:val="20"/>
                <w:highlight w:val="none"/>
              </w:rPr>
            </w:pPr>
            <w:r>
              <w:rPr>
                <w:rFonts w:hint="eastAsia" w:ascii="宋体" w:hAnsi="宋体" w:cs="宋体"/>
                <w:b/>
                <w:bCs/>
                <w:color w:val="000000"/>
                <w:kern w:val="0"/>
                <w:sz w:val="20"/>
                <w:highlight w:val="none"/>
              </w:rPr>
              <w:t>修正系数</w:t>
            </w:r>
          </w:p>
        </w:tc>
        <w:tc>
          <w:tcPr>
            <w:tcW w:w="1944" w:type="dxa"/>
            <w:tcBorders>
              <w:top w:val="single" w:color="auto" w:sz="6" w:space="0"/>
              <w:left w:val="nil"/>
              <w:bottom w:val="single" w:color="auto" w:sz="8" w:space="0"/>
              <w:right w:val="single" w:color="auto" w:sz="8" w:space="0"/>
            </w:tcBorders>
            <w:noWrap w:val="0"/>
            <w:vAlign w:val="top"/>
          </w:tcPr>
          <w:p>
            <w:pPr>
              <w:widowControl/>
              <w:jc w:val="center"/>
              <w:rPr>
                <w:rFonts w:ascii="宋体" w:cs="宋体"/>
                <w:color w:val="000000"/>
                <w:kern w:val="0"/>
                <w:sz w:val="20"/>
                <w:highlight w:val="none"/>
              </w:rPr>
            </w:pPr>
            <w:r>
              <w:rPr>
                <w:rFonts w:hint="eastAsia" w:ascii="宋体" w:hAnsi="宋体" w:cs="宋体"/>
                <w:color w:val="000000"/>
                <w:kern w:val="0"/>
                <w:sz w:val="20"/>
                <w:highlight w:val="none"/>
                <w:lang w:val="en-US" w:eastAsia="zh-CN"/>
              </w:rPr>
              <w:t>1</w:t>
            </w:r>
            <w:r>
              <w:rPr>
                <w:rFonts w:ascii="宋体" w:hAnsi="宋体" w:cs="宋体"/>
                <w:color w:val="000000"/>
                <w:kern w:val="0"/>
                <w:sz w:val="20"/>
                <w:highlight w:val="none"/>
              </w:rPr>
              <w:t>.00%</w:t>
            </w:r>
          </w:p>
        </w:tc>
        <w:tc>
          <w:tcPr>
            <w:tcW w:w="1679" w:type="dxa"/>
            <w:tcBorders>
              <w:top w:val="nil"/>
              <w:left w:val="single" w:color="auto" w:sz="8" w:space="0"/>
              <w:bottom w:val="single" w:color="auto" w:sz="8" w:space="0"/>
              <w:right w:val="single" w:color="auto" w:sz="8" w:space="0"/>
            </w:tcBorders>
            <w:noWrap w:val="0"/>
            <w:vAlign w:val="top"/>
          </w:tcPr>
          <w:p>
            <w:pPr>
              <w:widowControl/>
              <w:jc w:val="center"/>
              <w:rPr>
                <w:rFonts w:ascii="宋体" w:cs="宋体"/>
                <w:color w:val="000000"/>
                <w:kern w:val="0"/>
                <w:sz w:val="20"/>
                <w:highlight w:val="none"/>
              </w:rPr>
            </w:pPr>
            <w:r>
              <w:rPr>
                <w:rFonts w:hint="eastAsia" w:ascii="宋体" w:hAnsi="宋体" w:cs="宋体"/>
                <w:color w:val="000000"/>
                <w:kern w:val="0"/>
                <w:sz w:val="20"/>
                <w:highlight w:val="none"/>
                <w:lang w:val="en-US" w:eastAsia="zh-CN"/>
              </w:rPr>
              <w:t>1</w:t>
            </w:r>
            <w:r>
              <w:rPr>
                <w:rFonts w:ascii="宋体" w:hAnsi="宋体" w:cs="宋体"/>
                <w:color w:val="000000"/>
                <w:kern w:val="0"/>
                <w:sz w:val="20"/>
                <w:highlight w:val="none"/>
              </w:rPr>
              <w:t>.00%</w:t>
            </w:r>
          </w:p>
        </w:tc>
        <w:tc>
          <w:tcPr>
            <w:tcW w:w="1679" w:type="dxa"/>
            <w:tcBorders>
              <w:top w:val="nil"/>
              <w:left w:val="nil"/>
              <w:bottom w:val="single" w:color="auto" w:sz="8" w:space="0"/>
              <w:right w:val="single" w:color="auto" w:sz="8" w:space="0"/>
            </w:tcBorders>
            <w:noWrap w:val="0"/>
            <w:vAlign w:val="top"/>
          </w:tcPr>
          <w:p>
            <w:pPr>
              <w:widowControl/>
              <w:jc w:val="center"/>
              <w:rPr>
                <w:rFonts w:ascii="宋体" w:cs="宋体"/>
                <w:color w:val="000000"/>
                <w:kern w:val="0"/>
                <w:sz w:val="20"/>
                <w:highlight w:val="none"/>
              </w:rPr>
            </w:pPr>
            <w:r>
              <w:rPr>
                <w:rFonts w:hint="eastAsia" w:ascii="宋体" w:hAnsi="宋体" w:cs="宋体"/>
                <w:color w:val="000000"/>
                <w:kern w:val="0"/>
                <w:sz w:val="20"/>
                <w:highlight w:val="none"/>
                <w:lang w:val="en-US" w:eastAsia="zh-CN"/>
              </w:rPr>
              <w:t>1</w:t>
            </w:r>
            <w:r>
              <w:rPr>
                <w:rFonts w:ascii="宋体" w:hAnsi="宋体" w:cs="宋体"/>
                <w:color w:val="000000"/>
                <w:kern w:val="0"/>
                <w:sz w:val="20"/>
                <w:highlight w:val="none"/>
              </w:rPr>
              <w:t>.00%</w:t>
            </w:r>
          </w:p>
        </w:tc>
      </w:tr>
    </w:tbl>
    <w:p>
      <w:pPr>
        <w:pStyle w:val="31"/>
        <w:spacing w:line="360" w:lineRule="auto"/>
        <w:ind w:firstLine="480"/>
        <w:rPr>
          <w:rFonts w:ascii="宋体" w:hAnsi="宋体" w:eastAsia="宋体"/>
          <w:color w:val="000000"/>
          <w:spacing w:val="0"/>
          <w:highlight w:val="none"/>
        </w:rPr>
      </w:pPr>
      <w:r>
        <w:rPr>
          <w:rFonts w:hint="eastAsia" w:ascii="宋体" w:hAnsi="宋体" w:eastAsia="宋体"/>
          <w:color w:val="000000"/>
          <w:spacing w:val="0"/>
          <w:highlight w:val="none"/>
        </w:rPr>
        <w:t>⑷市场状况修正</w:t>
      </w:r>
    </w:p>
    <w:p>
      <w:pPr>
        <w:pStyle w:val="31"/>
        <w:spacing w:line="360" w:lineRule="auto"/>
        <w:ind w:firstLine="480"/>
        <w:rPr>
          <w:rFonts w:ascii="宋体" w:hAnsi="宋体" w:eastAsia="宋体"/>
          <w:color w:val="000000"/>
          <w:spacing w:val="0"/>
          <w:highlight w:val="none"/>
        </w:rPr>
      </w:pPr>
      <w:r>
        <w:rPr>
          <w:rFonts w:hint="eastAsia" w:ascii="宋体" w:hAnsi="宋体" w:eastAsia="宋体"/>
          <w:color w:val="000000"/>
          <w:spacing w:val="0"/>
          <w:highlight w:val="none"/>
        </w:rPr>
        <w:t>在可比实例的成交日期至估价时点期间，随着时间的流逝，房地产市场价格可能发生变化，必须进行市场状况调整，以使价格符合估价时点时的房地产市场状况。</w:t>
      </w:r>
    </w:p>
    <w:p>
      <w:pPr>
        <w:pStyle w:val="31"/>
        <w:spacing w:line="360" w:lineRule="auto"/>
        <w:ind w:firstLine="480"/>
        <w:rPr>
          <w:rFonts w:ascii="宋体" w:hAnsi="宋体" w:eastAsia="宋体"/>
          <w:color w:val="000000"/>
          <w:spacing w:val="0"/>
          <w:highlight w:val="none"/>
        </w:rPr>
      </w:pPr>
      <w:r>
        <w:rPr>
          <w:rFonts w:hint="eastAsia" w:ascii="宋体" w:hAnsi="宋体" w:eastAsia="宋体"/>
          <w:color w:val="000000"/>
          <w:spacing w:val="0"/>
          <w:highlight w:val="none"/>
        </w:rPr>
        <w:t>可比实例的交易日期与估价对象的估价时点如下表所示：</w:t>
      </w:r>
    </w:p>
    <w:tbl>
      <w:tblPr>
        <w:tblStyle w:val="40"/>
        <w:tblW w:w="8626" w:type="dxa"/>
        <w:tblInd w:w="108" w:type="dxa"/>
        <w:tblLayout w:type="fixed"/>
        <w:tblCellMar>
          <w:top w:w="0" w:type="dxa"/>
          <w:left w:w="108" w:type="dxa"/>
          <w:bottom w:w="0" w:type="dxa"/>
          <w:right w:w="108" w:type="dxa"/>
        </w:tblCellMar>
      </w:tblPr>
      <w:tblGrid>
        <w:gridCol w:w="2215"/>
        <w:gridCol w:w="2048"/>
        <w:gridCol w:w="2250"/>
        <w:gridCol w:w="2113"/>
      </w:tblGrid>
      <w:tr>
        <w:tblPrEx>
          <w:tblLayout w:type="fixed"/>
          <w:tblCellMar>
            <w:top w:w="0" w:type="dxa"/>
            <w:left w:w="108" w:type="dxa"/>
            <w:bottom w:w="0" w:type="dxa"/>
            <w:right w:w="108" w:type="dxa"/>
          </w:tblCellMar>
        </w:tblPrEx>
        <w:trPr>
          <w:trHeight w:val="20" w:hRule="atLeast"/>
        </w:trPr>
        <w:tc>
          <w:tcPr>
            <w:tcW w:w="2215" w:type="dxa"/>
            <w:tcBorders>
              <w:top w:val="single" w:color="auto" w:sz="8" w:space="0"/>
              <w:left w:val="single" w:color="auto" w:sz="8" w:space="0"/>
              <w:bottom w:val="single" w:color="auto" w:sz="8" w:space="0"/>
              <w:right w:val="nil"/>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估价时点</w:t>
            </w:r>
          </w:p>
        </w:tc>
        <w:tc>
          <w:tcPr>
            <w:tcW w:w="2048" w:type="dxa"/>
            <w:tcBorders>
              <w:top w:val="single" w:color="auto" w:sz="8" w:space="0"/>
              <w:left w:val="single" w:color="auto" w:sz="8" w:space="0"/>
              <w:bottom w:val="single" w:color="auto" w:sz="8"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A</w:t>
            </w:r>
          </w:p>
        </w:tc>
        <w:tc>
          <w:tcPr>
            <w:tcW w:w="2250" w:type="dxa"/>
            <w:tcBorders>
              <w:top w:val="single" w:color="auto" w:sz="8" w:space="0"/>
              <w:left w:val="nil"/>
              <w:bottom w:val="single" w:color="auto" w:sz="4"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B</w:t>
            </w:r>
          </w:p>
        </w:tc>
        <w:tc>
          <w:tcPr>
            <w:tcW w:w="2113" w:type="dxa"/>
            <w:tcBorders>
              <w:top w:val="single" w:color="auto" w:sz="8" w:space="0"/>
              <w:left w:val="nil"/>
              <w:bottom w:val="single" w:color="auto" w:sz="4" w:space="0"/>
              <w:right w:val="single" w:color="auto" w:sz="8"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C</w:t>
            </w:r>
          </w:p>
        </w:tc>
      </w:tr>
      <w:tr>
        <w:tblPrEx>
          <w:tblLayout w:type="fixed"/>
          <w:tblCellMar>
            <w:top w:w="0" w:type="dxa"/>
            <w:left w:w="108" w:type="dxa"/>
            <w:bottom w:w="0" w:type="dxa"/>
            <w:right w:w="108" w:type="dxa"/>
          </w:tblCellMar>
        </w:tblPrEx>
        <w:trPr>
          <w:trHeight w:val="20" w:hRule="atLeast"/>
        </w:trPr>
        <w:tc>
          <w:tcPr>
            <w:tcW w:w="2215" w:type="dxa"/>
            <w:tcBorders>
              <w:top w:val="nil"/>
              <w:left w:val="single" w:color="auto" w:sz="8" w:space="0"/>
              <w:bottom w:val="single" w:color="auto" w:sz="8" w:space="0"/>
              <w:right w:val="nil"/>
            </w:tcBorders>
            <w:noWrap w:val="0"/>
            <w:vAlign w:val="center"/>
          </w:tcPr>
          <w:p>
            <w:pPr>
              <w:widowControl/>
              <w:jc w:val="center"/>
              <w:textAlignment w:val="center"/>
              <w:rPr>
                <w:rFonts w:hint="default" w:ascii="宋体" w:eastAsia="宋体" w:cs="宋体"/>
                <w:color w:val="000000"/>
                <w:kern w:val="0"/>
                <w:sz w:val="20"/>
                <w:highlight w:val="none"/>
                <w:lang w:val="en-US" w:eastAsia="zh-CN"/>
              </w:rPr>
            </w:pPr>
            <w:r>
              <w:rPr>
                <w:rFonts w:ascii="宋体" w:hAnsi="宋体" w:cs="宋体"/>
                <w:color w:val="000000"/>
                <w:kern w:val="0"/>
                <w:sz w:val="20"/>
                <w:highlight w:val="none"/>
              </w:rPr>
              <w:t>201</w:t>
            </w:r>
            <w:r>
              <w:rPr>
                <w:rFonts w:hint="eastAsia" w:ascii="宋体" w:hAnsi="宋体" w:cs="宋体"/>
                <w:color w:val="000000"/>
                <w:kern w:val="0"/>
                <w:sz w:val="20"/>
                <w:highlight w:val="none"/>
              </w:rPr>
              <w:t>9</w:t>
            </w:r>
            <w:r>
              <w:rPr>
                <w:rFonts w:ascii="宋体" w:hAnsi="宋体" w:cs="宋体"/>
                <w:color w:val="000000"/>
                <w:kern w:val="0"/>
                <w:sz w:val="20"/>
                <w:highlight w:val="none"/>
              </w:rPr>
              <w:t>.</w:t>
            </w:r>
            <w:r>
              <w:rPr>
                <w:rFonts w:hint="eastAsia" w:ascii="宋体" w:hAnsi="宋体" w:cs="宋体"/>
                <w:color w:val="000000"/>
                <w:kern w:val="0"/>
                <w:sz w:val="20"/>
                <w:highlight w:val="none"/>
                <w:lang w:val="en-US" w:eastAsia="zh-CN"/>
              </w:rPr>
              <w:t>02</w:t>
            </w:r>
            <w:r>
              <w:rPr>
                <w:rFonts w:ascii="宋体" w:hAnsi="宋体" w:cs="宋体"/>
                <w:color w:val="000000"/>
                <w:kern w:val="0"/>
                <w:sz w:val="20"/>
                <w:highlight w:val="none"/>
              </w:rPr>
              <w:t>.</w:t>
            </w:r>
            <w:r>
              <w:rPr>
                <w:rFonts w:hint="eastAsia" w:ascii="宋体" w:hAnsi="宋体" w:cs="宋体"/>
                <w:color w:val="000000"/>
                <w:kern w:val="0"/>
                <w:sz w:val="20"/>
                <w:highlight w:val="none"/>
                <w:lang w:val="en-US" w:eastAsia="zh-CN"/>
              </w:rPr>
              <w:t>25</w:t>
            </w:r>
          </w:p>
        </w:tc>
        <w:tc>
          <w:tcPr>
            <w:tcW w:w="2048" w:type="dxa"/>
            <w:tcBorders>
              <w:top w:val="nil"/>
              <w:left w:val="single" w:color="auto" w:sz="8" w:space="0"/>
              <w:bottom w:val="single" w:color="auto" w:sz="8" w:space="0"/>
              <w:right w:val="single" w:color="auto" w:sz="4" w:space="0"/>
            </w:tcBorders>
            <w:noWrap w:val="0"/>
            <w:vAlign w:val="top"/>
          </w:tcPr>
          <w:p>
            <w:pPr>
              <w:jc w:val="center"/>
              <w:rPr>
                <w:rFonts w:hint="eastAsia" w:eastAsia="宋体"/>
                <w:highlight w:val="none"/>
                <w:lang w:val="en-US" w:eastAsia="zh-CN"/>
              </w:rPr>
            </w:pPr>
            <w:r>
              <w:rPr>
                <w:rFonts w:ascii="宋体" w:hAnsi="宋体" w:cs="宋体"/>
                <w:color w:val="000000"/>
                <w:kern w:val="0"/>
                <w:sz w:val="20"/>
                <w:highlight w:val="none"/>
              </w:rPr>
              <w:t>201</w:t>
            </w:r>
            <w:r>
              <w:rPr>
                <w:rFonts w:hint="eastAsia" w:ascii="宋体" w:hAnsi="宋体" w:cs="宋体"/>
                <w:color w:val="000000"/>
                <w:kern w:val="0"/>
                <w:sz w:val="20"/>
                <w:highlight w:val="none"/>
              </w:rPr>
              <w:t>9</w:t>
            </w:r>
            <w:r>
              <w:rPr>
                <w:rFonts w:ascii="宋体" w:hAnsi="宋体" w:cs="宋体"/>
                <w:color w:val="000000"/>
                <w:kern w:val="0"/>
                <w:sz w:val="20"/>
                <w:highlight w:val="none"/>
              </w:rPr>
              <w:t>.</w:t>
            </w:r>
            <w:r>
              <w:rPr>
                <w:rFonts w:hint="eastAsia" w:ascii="宋体" w:hAnsi="宋体" w:cs="宋体"/>
                <w:color w:val="000000"/>
                <w:kern w:val="0"/>
                <w:sz w:val="20"/>
                <w:highlight w:val="none"/>
              </w:rPr>
              <w:t>0</w:t>
            </w:r>
            <w:r>
              <w:rPr>
                <w:rFonts w:hint="eastAsia" w:ascii="宋体" w:hAnsi="宋体" w:cs="宋体"/>
                <w:color w:val="000000"/>
                <w:kern w:val="0"/>
                <w:sz w:val="20"/>
                <w:highlight w:val="none"/>
                <w:lang w:val="en-US" w:eastAsia="zh-CN"/>
              </w:rPr>
              <w:t>2</w:t>
            </w:r>
          </w:p>
        </w:tc>
        <w:tc>
          <w:tcPr>
            <w:tcW w:w="225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eastAsia="宋体"/>
                <w:highlight w:val="none"/>
                <w:lang w:val="en-US" w:eastAsia="zh-CN"/>
              </w:rPr>
            </w:pPr>
            <w:r>
              <w:rPr>
                <w:rFonts w:ascii="宋体" w:hAnsi="宋体" w:cs="宋体"/>
                <w:color w:val="000000"/>
                <w:kern w:val="0"/>
                <w:sz w:val="20"/>
                <w:highlight w:val="none"/>
              </w:rPr>
              <w:t>201</w:t>
            </w:r>
            <w:r>
              <w:rPr>
                <w:rFonts w:hint="eastAsia" w:ascii="宋体" w:hAnsi="宋体" w:cs="宋体"/>
                <w:color w:val="000000"/>
                <w:kern w:val="0"/>
                <w:sz w:val="20"/>
                <w:highlight w:val="none"/>
              </w:rPr>
              <w:t>9</w:t>
            </w:r>
            <w:r>
              <w:rPr>
                <w:rFonts w:ascii="宋体" w:hAnsi="宋体" w:cs="宋体"/>
                <w:color w:val="000000"/>
                <w:kern w:val="0"/>
                <w:sz w:val="20"/>
                <w:highlight w:val="none"/>
              </w:rPr>
              <w:t>.</w:t>
            </w:r>
            <w:r>
              <w:rPr>
                <w:rFonts w:hint="eastAsia" w:ascii="宋体" w:hAnsi="宋体" w:cs="宋体"/>
                <w:color w:val="000000"/>
                <w:kern w:val="0"/>
                <w:sz w:val="20"/>
                <w:highlight w:val="none"/>
              </w:rPr>
              <w:t>0</w:t>
            </w:r>
            <w:r>
              <w:rPr>
                <w:rFonts w:hint="eastAsia" w:ascii="宋体" w:hAnsi="宋体" w:cs="宋体"/>
                <w:color w:val="000000"/>
                <w:kern w:val="0"/>
                <w:sz w:val="20"/>
                <w:highlight w:val="none"/>
                <w:lang w:val="en-US" w:eastAsia="zh-CN"/>
              </w:rPr>
              <w:t>2</w:t>
            </w:r>
          </w:p>
        </w:tc>
        <w:tc>
          <w:tcPr>
            <w:tcW w:w="2113"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eastAsia="宋体"/>
                <w:highlight w:val="none"/>
                <w:lang w:val="en-US" w:eastAsia="zh-CN"/>
              </w:rPr>
            </w:pPr>
            <w:r>
              <w:rPr>
                <w:rFonts w:ascii="宋体" w:hAnsi="宋体" w:cs="宋体"/>
                <w:color w:val="000000"/>
                <w:kern w:val="0"/>
                <w:sz w:val="20"/>
                <w:highlight w:val="none"/>
              </w:rPr>
              <w:t>201</w:t>
            </w:r>
            <w:r>
              <w:rPr>
                <w:rFonts w:hint="eastAsia" w:ascii="宋体" w:hAnsi="宋体" w:cs="宋体"/>
                <w:color w:val="000000"/>
                <w:kern w:val="0"/>
                <w:sz w:val="20"/>
                <w:highlight w:val="none"/>
              </w:rPr>
              <w:t>9</w:t>
            </w:r>
            <w:r>
              <w:rPr>
                <w:rFonts w:ascii="宋体" w:hAnsi="宋体" w:cs="宋体"/>
                <w:color w:val="000000"/>
                <w:kern w:val="0"/>
                <w:sz w:val="20"/>
                <w:highlight w:val="none"/>
              </w:rPr>
              <w:t>.</w:t>
            </w:r>
            <w:r>
              <w:rPr>
                <w:rFonts w:hint="eastAsia" w:ascii="宋体" w:hAnsi="宋体" w:cs="宋体"/>
                <w:color w:val="000000"/>
                <w:kern w:val="0"/>
                <w:sz w:val="20"/>
                <w:highlight w:val="none"/>
              </w:rPr>
              <w:t>0</w:t>
            </w:r>
            <w:r>
              <w:rPr>
                <w:rFonts w:hint="eastAsia" w:ascii="宋体" w:hAnsi="宋体" w:cs="宋体"/>
                <w:color w:val="000000"/>
                <w:kern w:val="0"/>
                <w:sz w:val="20"/>
                <w:highlight w:val="none"/>
                <w:lang w:val="en-US" w:eastAsia="zh-CN"/>
              </w:rPr>
              <w:t>2</w:t>
            </w:r>
          </w:p>
        </w:tc>
      </w:tr>
    </w:tbl>
    <w:p>
      <w:pPr>
        <w:widowControl/>
        <w:spacing w:line="360" w:lineRule="auto"/>
        <w:ind w:firstLine="520" w:firstLineChars="200"/>
        <w:rPr>
          <w:rFonts w:ascii="宋体"/>
          <w:color w:val="000000"/>
          <w:spacing w:val="10"/>
          <w:sz w:val="24"/>
          <w:highlight w:val="none"/>
        </w:rPr>
      </w:pPr>
      <w:r>
        <w:rPr>
          <w:rFonts w:hint="eastAsia" w:ascii="宋体" w:hAnsi="宋体"/>
          <w:color w:val="000000"/>
          <w:spacing w:val="10"/>
          <w:sz w:val="24"/>
          <w:highlight w:val="none"/>
        </w:rPr>
        <w:t>可比实际的交易日期与估价对象的估价时点基本一致，故其价格指数一致。可比实例房地产市场状况修正系数为：估价时点的价格指数</w:t>
      </w:r>
      <w:r>
        <w:rPr>
          <w:rFonts w:ascii="宋体" w:hAnsi="宋体"/>
          <w:color w:val="000000"/>
          <w:spacing w:val="10"/>
          <w:sz w:val="24"/>
          <w:highlight w:val="none"/>
        </w:rPr>
        <w:t>/</w:t>
      </w:r>
      <w:r>
        <w:rPr>
          <w:rFonts w:hint="eastAsia" w:ascii="宋体" w:hAnsi="宋体"/>
          <w:color w:val="000000"/>
          <w:spacing w:val="10"/>
          <w:sz w:val="24"/>
          <w:highlight w:val="none"/>
        </w:rPr>
        <w:t>成交日期的价格指数。经测算，可比实例房地产市场状况修正系数如下表所示：</w:t>
      </w:r>
    </w:p>
    <w:tbl>
      <w:tblPr>
        <w:tblStyle w:val="40"/>
        <w:tblW w:w="86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2"/>
        <w:gridCol w:w="2438"/>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752" w:type="dxa"/>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A</w:t>
            </w:r>
          </w:p>
        </w:tc>
        <w:tc>
          <w:tcPr>
            <w:tcW w:w="2438" w:type="dxa"/>
            <w:tcBorders>
              <w:top w:val="single" w:color="auto" w:sz="4" w:space="0"/>
              <w:left w:val="single" w:color="auto" w:sz="4" w:space="0"/>
              <w:bottom w:val="single" w:color="auto" w:sz="6" w:space="0"/>
              <w:right w:val="single" w:color="auto" w:sz="4"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B</w:t>
            </w:r>
          </w:p>
        </w:tc>
        <w:tc>
          <w:tcPr>
            <w:tcW w:w="2436" w:type="dxa"/>
            <w:tcBorders>
              <w:top w:val="single" w:color="auto" w:sz="4" w:space="0"/>
              <w:left w:val="single" w:color="auto" w:sz="4" w:space="0"/>
              <w:bottom w:val="single" w:color="auto" w:sz="4" w:space="0"/>
              <w:right w:val="single" w:color="auto" w:sz="4" w:space="0"/>
            </w:tcBorders>
            <w:noWrap w:val="0"/>
            <w:vAlign w:val="bottom"/>
          </w:tcPr>
          <w:p>
            <w:pPr>
              <w:widowControl/>
              <w:jc w:val="center"/>
              <w:rPr>
                <w:rFonts w:ascii="宋体" w:cs="宋体"/>
                <w:b/>
                <w:color w:val="000000"/>
                <w:kern w:val="0"/>
                <w:sz w:val="20"/>
                <w:highlight w:val="none"/>
              </w:rPr>
            </w:pPr>
            <w:r>
              <w:rPr>
                <w:rFonts w:hint="eastAsia" w:ascii="宋体" w:hAnsi="宋体" w:cs="宋体"/>
                <w:b/>
                <w:color w:val="000000"/>
                <w:kern w:val="0"/>
                <w:sz w:val="20"/>
                <w:highlight w:val="none"/>
              </w:rPr>
              <w:t>可比实例</w:t>
            </w:r>
            <w:r>
              <w:rPr>
                <w:rFonts w:ascii="宋体" w:hAnsi="宋体" w:cs="宋体"/>
                <w:b/>
                <w:color w:val="000000"/>
                <w:kern w:val="0"/>
                <w:sz w:val="20"/>
                <w:highlight w:val="none"/>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75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s="宋体"/>
                <w:color w:val="000000"/>
                <w:kern w:val="0"/>
                <w:sz w:val="20"/>
                <w:highlight w:val="none"/>
              </w:rPr>
            </w:pPr>
            <w:r>
              <w:rPr>
                <w:rFonts w:ascii="宋体" w:hAnsi="宋体" w:cs="宋体"/>
                <w:color w:val="000000"/>
                <w:kern w:val="0"/>
                <w:sz w:val="20"/>
                <w:highlight w:val="none"/>
              </w:rPr>
              <w:t>100.00%</w:t>
            </w:r>
          </w:p>
        </w:tc>
        <w:tc>
          <w:tcPr>
            <w:tcW w:w="2438" w:type="dxa"/>
            <w:tcBorders>
              <w:top w:val="single" w:color="auto" w:sz="6" w:space="0"/>
              <w:left w:val="single" w:color="auto" w:sz="4" w:space="0"/>
              <w:bottom w:val="single" w:color="auto" w:sz="4" w:space="0"/>
              <w:right w:val="single" w:color="auto" w:sz="4" w:space="0"/>
            </w:tcBorders>
            <w:noWrap w:val="0"/>
            <w:vAlign w:val="center"/>
          </w:tcPr>
          <w:p>
            <w:pPr>
              <w:widowControl/>
              <w:jc w:val="center"/>
              <w:rPr>
                <w:rFonts w:ascii="宋体" w:cs="宋体"/>
                <w:color w:val="000000"/>
                <w:kern w:val="0"/>
                <w:sz w:val="20"/>
                <w:highlight w:val="none"/>
              </w:rPr>
            </w:pPr>
            <w:r>
              <w:rPr>
                <w:rFonts w:ascii="宋体" w:hAnsi="宋体" w:cs="宋体"/>
                <w:color w:val="000000"/>
                <w:kern w:val="0"/>
                <w:sz w:val="20"/>
                <w:highlight w:val="none"/>
              </w:rPr>
              <w:t>100.00%</w:t>
            </w:r>
          </w:p>
        </w:tc>
        <w:tc>
          <w:tcPr>
            <w:tcW w:w="243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s="宋体"/>
                <w:color w:val="000000"/>
                <w:kern w:val="0"/>
                <w:sz w:val="20"/>
                <w:highlight w:val="none"/>
              </w:rPr>
            </w:pPr>
            <w:r>
              <w:rPr>
                <w:rFonts w:ascii="宋体" w:hAnsi="宋体" w:cs="宋体"/>
                <w:color w:val="000000"/>
                <w:kern w:val="0"/>
                <w:sz w:val="20"/>
                <w:highlight w:val="none"/>
              </w:rPr>
              <w:t>100.00%</w:t>
            </w:r>
          </w:p>
        </w:tc>
      </w:tr>
    </w:tbl>
    <w:p>
      <w:pPr>
        <w:pStyle w:val="31"/>
        <w:spacing w:line="360" w:lineRule="auto"/>
        <w:ind w:firstLine="480"/>
        <w:rPr>
          <w:rFonts w:ascii="宋体" w:hAnsi="宋体" w:eastAsia="宋体"/>
          <w:color w:val="000000"/>
          <w:spacing w:val="0"/>
          <w:highlight w:val="none"/>
        </w:rPr>
      </w:pPr>
      <w:r>
        <w:rPr>
          <w:rFonts w:hint="eastAsia" w:ascii="宋体" w:hAnsi="宋体" w:eastAsia="宋体"/>
          <w:color w:val="000000"/>
          <w:spacing w:val="0"/>
          <w:highlight w:val="none"/>
        </w:rPr>
        <w:t>⑸房地产状况调整</w:t>
      </w:r>
    </w:p>
    <w:p>
      <w:pPr>
        <w:widowControl/>
        <w:spacing w:line="360" w:lineRule="auto"/>
        <w:ind w:firstLine="480" w:firstLineChars="200"/>
        <w:rPr>
          <w:rFonts w:ascii="宋体"/>
          <w:color w:val="000000"/>
          <w:sz w:val="24"/>
          <w:highlight w:val="none"/>
        </w:rPr>
      </w:pPr>
      <w:r>
        <w:rPr>
          <w:rFonts w:hint="eastAsia" w:ascii="宋体" w:hAnsi="宋体"/>
          <w:color w:val="000000"/>
          <w:sz w:val="24"/>
          <w:highlight w:val="none"/>
        </w:rPr>
        <w:t>可比实例房地产与估价对象房地产本身之间有差异，还应对可比实例成交价格进行房地产状况调整。</w:t>
      </w:r>
    </w:p>
    <w:p>
      <w:pPr>
        <w:widowControl/>
        <w:spacing w:line="360" w:lineRule="auto"/>
        <w:ind w:firstLine="480" w:firstLineChars="200"/>
        <w:rPr>
          <w:rFonts w:ascii="宋体"/>
          <w:color w:val="000000"/>
          <w:sz w:val="24"/>
          <w:highlight w:val="none"/>
        </w:rPr>
      </w:pPr>
      <w:r>
        <w:rPr>
          <w:rFonts w:hint="eastAsia" w:ascii="宋体" w:hAnsi="宋体"/>
          <w:color w:val="000000"/>
          <w:sz w:val="24"/>
          <w:highlight w:val="none"/>
        </w:rPr>
        <w:t>房地产状况可分为区位状况（交通条件、生活服务设施等）调整、权益状况（</w:t>
      </w:r>
      <w:r>
        <w:rPr>
          <w:rFonts w:hint="eastAsia" w:ascii="宋体" w:hAnsi="宋体" w:cs="宋体"/>
          <w:color w:val="000000"/>
          <w:kern w:val="0"/>
          <w:sz w:val="24"/>
          <w:szCs w:val="24"/>
          <w:highlight w:val="none"/>
        </w:rPr>
        <w:t>土地性质</w:t>
      </w:r>
      <w:r>
        <w:rPr>
          <w:rFonts w:hint="eastAsia" w:ascii="宋体" w:hAnsi="宋体"/>
          <w:color w:val="000000"/>
          <w:sz w:val="24"/>
          <w:highlight w:val="none"/>
        </w:rPr>
        <w:t>、权属状况等）调整和实物状况（建筑年代、结构、装修等）调整三大方面，比较实例与估价对象房地产状况各不相同，须根据具体情况对比较实例进行房地产状况调整。</w:t>
      </w:r>
    </w:p>
    <w:p>
      <w:pPr>
        <w:widowControl/>
        <w:spacing w:line="360" w:lineRule="auto"/>
        <w:ind w:firstLine="600" w:firstLineChars="250"/>
        <w:rPr>
          <w:rFonts w:hint="eastAsia" w:ascii="宋体" w:hAnsi="宋体"/>
          <w:color w:val="000000"/>
          <w:sz w:val="24"/>
          <w:highlight w:val="none"/>
        </w:rPr>
      </w:pPr>
      <w:r>
        <w:rPr>
          <w:rFonts w:hint="eastAsia" w:ascii="宋体" w:hAnsi="宋体"/>
          <w:color w:val="000000"/>
          <w:sz w:val="24"/>
          <w:highlight w:val="none"/>
        </w:rPr>
        <w:t>具体修正情况见下表：</w:t>
      </w:r>
    </w:p>
    <w:tbl>
      <w:tblPr>
        <w:tblStyle w:val="40"/>
        <w:tblW w:w="8440" w:type="dxa"/>
        <w:tblInd w:w="0" w:type="dxa"/>
        <w:tblLayout w:type="fixed"/>
        <w:tblCellMar>
          <w:top w:w="0" w:type="dxa"/>
          <w:left w:w="0" w:type="dxa"/>
          <w:bottom w:w="0" w:type="dxa"/>
          <w:right w:w="0" w:type="dxa"/>
        </w:tblCellMar>
      </w:tblPr>
      <w:tblGrid>
        <w:gridCol w:w="1461"/>
        <w:gridCol w:w="1785"/>
        <w:gridCol w:w="1664"/>
        <w:gridCol w:w="1805"/>
        <w:gridCol w:w="1725"/>
      </w:tblGrid>
      <w:tr>
        <w:tblPrEx>
          <w:tblLayout w:type="fixed"/>
          <w:tblCellMar>
            <w:top w:w="0" w:type="dxa"/>
            <w:left w:w="0" w:type="dxa"/>
            <w:bottom w:w="0" w:type="dxa"/>
            <w:right w:w="0" w:type="dxa"/>
          </w:tblCellMar>
        </w:tblPrEx>
        <w:trPr>
          <w:trHeight w:val="285" w:hRule="atLeast"/>
        </w:trPr>
        <w:tc>
          <w:tcPr>
            <w:tcW w:w="324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可比实例A</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可比实例B</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可比实例C</w:t>
            </w:r>
          </w:p>
        </w:tc>
      </w:tr>
      <w:tr>
        <w:tblPrEx>
          <w:tblLayout w:type="fixed"/>
          <w:tblCellMar>
            <w:top w:w="0" w:type="dxa"/>
            <w:left w:w="0" w:type="dxa"/>
            <w:bottom w:w="0" w:type="dxa"/>
            <w:right w:w="0" w:type="dxa"/>
          </w:tblCellMar>
        </w:tblPrEx>
        <w:trPr>
          <w:trHeight w:val="285" w:hRule="atLeast"/>
        </w:trPr>
        <w:tc>
          <w:tcPr>
            <w:tcW w:w="324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单价(元/M</w:t>
            </w:r>
            <w:r>
              <w:rPr>
                <w:rFonts w:hint="eastAsia" w:ascii="宋体" w:hAnsi="宋体" w:eastAsia="宋体" w:cs="宋体"/>
                <w:i w:val="0"/>
                <w:color w:val="000000"/>
                <w:kern w:val="0"/>
                <w:sz w:val="20"/>
                <w:szCs w:val="20"/>
                <w:u w:val="none"/>
                <w:vertAlign w:val="superscript"/>
                <w:lang w:val="en-US" w:eastAsia="zh-CN" w:bidi="ar"/>
              </w:rPr>
              <w:t>2</w:t>
            </w:r>
            <w:r>
              <w:rPr>
                <w:rFonts w:hint="eastAsia" w:ascii="宋体" w:hAnsi="宋体" w:eastAsia="宋体" w:cs="宋体"/>
                <w:i w:val="0"/>
                <w:color w:val="000000"/>
                <w:kern w:val="0"/>
                <w:sz w:val="20"/>
                <w:szCs w:val="20"/>
                <w:u w:val="none"/>
                <w:lang w:val="en-US" w:eastAsia="zh-CN" w:bidi="ar"/>
              </w:rPr>
              <w:t>)</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2718</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2575</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2691</w:t>
            </w:r>
          </w:p>
        </w:tc>
      </w:tr>
      <w:tr>
        <w:tblPrEx>
          <w:tblLayout w:type="fixed"/>
          <w:tblCellMar>
            <w:top w:w="0" w:type="dxa"/>
            <w:left w:w="0" w:type="dxa"/>
            <w:bottom w:w="0" w:type="dxa"/>
            <w:right w:w="0" w:type="dxa"/>
          </w:tblCellMar>
        </w:tblPrEx>
        <w:trPr>
          <w:trHeight w:val="285" w:hRule="atLeast"/>
        </w:trPr>
        <w:tc>
          <w:tcPr>
            <w:tcW w:w="324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交易情况修正</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r>
      <w:tr>
        <w:tblPrEx>
          <w:tblLayout w:type="fixed"/>
          <w:tblCellMar>
            <w:top w:w="0" w:type="dxa"/>
            <w:left w:w="0" w:type="dxa"/>
            <w:bottom w:w="0" w:type="dxa"/>
            <w:right w:w="0" w:type="dxa"/>
          </w:tblCellMar>
        </w:tblPrEx>
        <w:trPr>
          <w:trHeight w:val="285" w:hRule="atLeast"/>
        </w:trPr>
        <w:tc>
          <w:tcPr>
            <w:tcW w:w="324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市场状况调整</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区位</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状况</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方位</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交通条件</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生活服务设施</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教育配套设施</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环境质量</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基础设施</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楼层范围</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居住区级别</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周围景观</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权益</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状况</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土地类型</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权属状况</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个别</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状况</w:t>
            </w: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建筑年代</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结构</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楼栋类型</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装修</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配套设施设备</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层高</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空间布局</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房屋面积</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花园面积</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完损等级</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物业管理</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其他因素</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r>
      <w:tr>
        <w:tblPrEx>
          <w:tblLayout w:type="fixed"/>
          <w:tblCellMar>
            <w:top w:w="0" w:type="dxa"/>
            <w:left w:w="0" w:type="dxa"/>
            <w:bottom w:w="0" w:type="dxa"/>
            <w:right w:w="0" w:type="dxa"/>
          </w:tblCellMar>
        </w:tblPrEx>
        <w:trPr>
          <w:trHeight w:val="285" w:hRule="atLeast"/>
        </w:trPr>
        <w:tc>
          <w:tcPr>
            <w:tcW w:w="14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7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小计</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-6.50%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w:t>
            </w:r>
          </w:p>
        </w:tc>
      </w:tr>
      <w:tr>
        <w:tblPrEx>
          <w:tblLayout w:type="fixed"/>
          <w:tblCellMar>
            <w:top w:w="0" w:type="dxa"/>
            <w:left w:w="0" w:type="dxa"/>
            <w:bottom w:w="0" w:type="dxa"/>
            <w:right w:w="0" w:type="dxa"/>
          </w:tblCellMar>
        </w:tblPrEx>
        <w:trPr>
          <w:trHeight w:val="285" w:hRule="atLeast"/>
        </w:trPr>
        <w:tc>
          <w:tcPr>
            <w:tcW w:w="324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合计</w:t>
            </w:r>
          </w:p>
        </w:tc>
        <w:tc>
          <w:tcPr>
            <w:tcW w:w="16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1.00%</w:t>
            </w:r>
          </w:p>
        </w:tc>
        <w:tc>
          <w:tcPr>
            <w:tcW w:w="18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-6.50%</w:t>
            </w:r>
          </w:p>
        </w:tc>
        <w:tc>
          <w:tcPr>
            <w:tcW w:w="17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-4.00%</w:t>
            </w:r>
          </w:p>
        </w:tc>
      </w:tr>
      <w:tr>
        <w:tblPrEx>
          <w:tblLayout w:type="fixed"/>
          <w:tblCellMar>
            <w:top w:w="0" w:type="dxa"/>
            <w:left w:w="0" w:type="dxa"/>
            <w:bottom w:w="0" w:type="dxa"/>
            <w:right w:w="0" w:type="dxa"/>
          </w:tblCellMar>
        </w:tblPrEx>
        <w:trPr>
          <w:trHeight w:val="285" w:hRule="atLeast"/>
        </w:trPr>
        <w:tc>
          <w:tcPr>
            <w:tcW w:w="324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比准单价(元/㎡/天)</w:t>
            </w:r>
          </w:p>
        </w:tc>
        <w:tc>
          <w:tcPr>
            <w:tcW w:w="16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2664 </w:t>
            </w:r>
          </w:p>
        </w:tc>
        <w:tc>
          <w:tcPr>
            <w:tcW w:w="18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2727 </w:t>
            </w:r>
          </w:p>
        </w:tc>
        <w:tc>
          <w:tcPr>
            <w:tcW w:w="17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2775 </w:t>
            </w:r>
          </w:p>
        </w:tc>
      </w:tr>
    </w:tbl>
    <w:p>
      <w:pPr>
        <w:widowControl/>
        <w:spacing w:line="560" w:lineRule="exact"/>
        <w:jc w:val="left"/>
        <w:rPr>
          <w:rFonts w:ascii="宋体"/>
          <w:bCs/>
          <w:color w:val="000000"/>
          <w:spacing w:val="10"/>
          <w:sz w:val="24"/>
          <w:highlight w:val="none"/>
        </w:rPr>
      </w:pPr>
      <w:r>
        <w:rPr>
          <w:rFonts w:hint="eastAsia" w:ascii="宋体" w:hAnsi="宋体"/>
          <w:bCs/>
          <w:color w:val="000000"/>
          <w:spacing w:val="10"/>
          <w:sz w:val="24"/>
          <w:highlight w:val="none"/>
        </w:rPr>
        <w:t>（</w:t>
      </w:r>
      <w:r>
        <w:rPr>
          <w:rFonts w:ascii="宋体" w:hAnsi="宋体"/>
          <w:bCs/>
          <w:color w:val="000000"/>
          <w:spacing w:val="10"/>
          <w:sz w:val="24"/>
          <w:highlight w:val="none"/>
        </w:rPr>
        <w:t>3</w:t>
      </w:r>
      <w:r>
        <w:rPr>
          <w:rFonts w:hint="eastAsia" w:ascii="宋体" w:hAnsi="宋体"/>
          <w:bCs/>
          <w:color w:val="000000"/>
          <w:spacing w:val="10"/>
          <w:sz w:val="24"/>
          <w:highlight w:val="none"/>
        </w:rPr>
        <w:t>）计算结果</w:t>
      </w:r>
    </w:p>
    <w:p>
      <w:pPr>
        <w:widowControl/>
        <w:spacing w:line="520" w:lineRule="exact"/>
        <w:ind w:left="2" w:leftChars="1" w:firstLine="520" w:firstLineChars="200"/>
        <w:rPr>
          <w:rFonts w:ascii="宋体"/>
          <w:color w:val="000000"/>
          <w:spacing w:val="10"/>
          <w:sz w:val="24"/>
          <w:highlight w:val="none"/>
        </w:rPr>
      </w:pPr>
      <w:r>
        <w:rPr>
          <w:rFonts w:hint="eastAsia" w:ascii="宋体" w:hAnsi="宋体"/>
          <w:color w:val="000000"/>
          <w:spacing w:val="10"/>
          <w:sz w:val="24"/>
          <w:highlight w:val="none"/>
        </w:rPr>
        <w:t>根据比较法计算公式：</w:t>
      </w:r>
    </w:p>
    <w:p>
      <w:pPr>
        <w:widowControl/>
        <w:spacing w:line="240" w:lineRule="atLeast"/>
        <w:ind w:firstLine="4054" w:firstLineChars="2027"/>
        <w:rPr>
          <w:rFonts w:ascii="宋体"/>
          <w:color w:val="000000"/>
          <w:spacing w:val="10"/>
          <w:sz w:val="18"/>
          <w:highlight w:val="none"/>
        </w:rPr>
      </w:pPr>
      <w:r>
        <w:rPr>
          <w:rFonts w:hint="eastAsia" w:ascii="宋体" w:hAnsi="宋体"/>
          <w:color w:val="000000"/>
          <w:spacing w:val="10"/>
          <w:sz w:val="18"/>
          <w:highlight w:val="none"/>
        </w:rPr>
        <w:t>交易情况市场状况房地产状况</w:t>
      </w:r>
    </w:p>
    <w:p>
      <w:pPr>
        <w:widowControl/>
        <w:spacing w:line="240" w:lineRule="atLeast"/>
        <w:ind w:firstLine="4400" w:firstLineChars="2200"/>
        <w:rPr>
          <w:rFonts w:ascii="宋体"/>
          <w:color w:val="000000"/>
          <w:spacing w:val="10"/>
          <w:sz w:val="18"/>
          <w:highlight w:val="none"/>
        </w:rPr>
      </w:pPr>
      <w:r>
        <w:rPr>
          <w:rFonts w:hint="eastAsia" w:ascii="宋体" w:hAnsi="宋体"/>
          <w:color w:val="000000"/>
          <w:spacing w:val="10"/>
          <w:sz w:val="18"/>
          <w:highlight w:val="none"/>
        </w:rPr>
        <w:t>修正修正调整</w:t>
      </w:r>
    </w:p>
    <w:p>
      <w:pPr>
        <w:widowControl/>
        <w:spacing w:line="360" w:lineRule="auto"/>
        <w:ind w:firstLine="555"/>
        <w:rPr>
          <w:rFonts w:ascii="宋体"/>
          <w:color w:val="000000"/>
          <w:spacing w:val="10"/>
          <w:sz w:val="24"/>
          <w:highlight w:val="none"/>
        </w:rPr>
      </w:pPr>
      <w:r>
        <w:rPr>
          <w:rFonts w:hint="eastAsia" w:ascii="宋体" w:hAnsi="宋体"/>
          <w:color w:val="000000"/>
          <w:spacing w:val="10"/>
          <w:sz w:val="24"/>
          <w:highlight w:val="none"/>
        </w:rPr>
        <w:t>比较价值</w:t>
      </w:r>
      <w:r>
        <w:rPr>
          <w:rFonts w:ascii="宋体" w:hAnsi="宋体"/>
          <w:color w:val="000000"/>
          <w:spacing w:val="10"/>
          <w:sz w:val="24"/>
          <w:highlight w:val="none"/>
        </w:rPr>
        <w:t>=</w:t>
      </w:r>
      <w:r>
        <w:rPr>
          <w:rFonts w:hint="eastAsia" w:ascii="宋体" w:hAnsi="宋体"/>
          <w:color w:val="000000"/>
          <w:spacing w:val="10"/>
          <w:sz w:val="24"/>
          <w:highlight w:val="none"/>
        </w:rPr>
        <w:t>可比实例成交价格×</w:t>
      </w:r>
      <w:r>
        <w:rPr>
          <w:rFonts w:hint="eastAsia" w:ascii="宋体" w:hAnsi="宋体"/>
          <w:color w:val="000000"/>
          <w:spacing w:val="10"/>
          <w:position w:val="-30"/>
          <w:sz w:val="24"/>
          <w:highlight w:val="none"/>
        </w:rPr>
        <w:object>
          <v:shape id="_x0000_i1025" o:spt="75" type="#_x0000_t75" style="height:32.9pt;width:27.6pt;" o:ole="t" filled="f" o:preferrelative="t" stroked="f" coordsize="21600,21600">
            <v:path/>
            <v:fill on="f" focussize="0,0"/>
            <v:stroke on="f"/>
            <v:imagedata r:id="rId10" o:title=""/>
            <o:lock v:ext="edit" aspectratio="t"/>
            <w10:wrap type="none"/>
            <w10:anchorlock/>
          </v:shape>
          <o:OLEObject Type="Embed" ProgID="Msxml2.SAXXMLReader.5.0" ShapeID="_x0000_i1025" DrawAspect="Content" ObjectID="_1468075725" r:id="rId9">
            <o:LockedField>false</o:LockedField>
          </o:OLEObject>
        </w:object>
      </w:r>
      <w:r>
        <w:rPr>
          <w:rFonts w:hint="eastAsia" w:ascii="宋体" w:hAnsi="宋体"/>
          <w:color w:val="000000"/>
          <w:spacing w:val="10"/>
          <w:sz w:val="24"/>
          <w:highlight w:val="none"/>
        </w:rPr>
        <w:t>×</w:t>
      </w:r>
      <w:r>
        <w:rPr>
          <w:rFonts w:hint="eastAsia" w:ascii="宋体" w:hAnsi="宋体"/>
          <w:color w:val="000000"/>
          <w:spacing w:val="10"/>
          <w:position w:val="-24"/>
          <w:sz w:val="24"/>
          <w:highlight w:val="none"/>
        </w:rPr>
        <w:drawing>
          <wp:inline distT="0" distB="0" distL="114300" distR="114300">
            <wp:extent cx="350520" cy="389890"/>
            <wp:effectExtent l="0" t="0" r="0" b="1016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350520" cy="389890"/>
                    </a:xfrm>
                    <a:prstGeom prst="rect">
                      <a:avLst/>
                    </a:prstGeom>
                    <a:noFill/>
                    <a:ln>
                      <a:noFill/>
                    </a:ln>
                  </pic:spPr>
                </pic:pic>
              </a:graphicData>
            </a:graphic>
          </wp:inline>
        </w:drawing>
      </w:r>
      <w:r>
        <w:rPr>
          <w:rFonts w:hint="eastAsia" w:ascii="宋体" w:hAnsi="宋体"/>
          <w:color w:val="000000"/>
          <w:spacing w:val="10"/>
          <w:sz w:val="24"/>
          <w:highlight w:val="none"/>
        </w:rPr>
        <w:t>×</w:t>
      </w:r>
      <w:r>
        <w:rPr>
          <w:rFonts w:hint="eastAsia" w:ascii="宋体" w:hAnsi="宋体"/>
          <w:color w:val="000000"/>
          <w:spacing w:val="10"/>
          <w:position w:val="-30"/>
          <w:sz w:val="24"/>
          <w:highlight w:val="none"/>
        </w:rPr>
        <w:drawing>
          <wp:inline distT="0" distB="0" distL="114300" distR="114300">
            <wp:extent cx="350520" cy="417830"/>
            <wp:effectExtent l="0" t="0" r="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350520" cy="417830"/>
                    </a:xfrm>
                    <a:prstGeom prst="rect">
                      <a:avLst/>
                    </a:prstGeom>
                    <a:noFill/>
                    <a:ln>
                      <a:noFill/>
                    </a:ln>
                  </pic:spPr>
                </pic:pic>
              </a:graphicData>
            </a:graphic>
          </wp:inline>
        </w:drawing>
      </w:r>
    </w:p>
    <w:p>
      <w:pPr>
        <w:widowControl/>
        <w:spacing w:line="560" w:lineRule="exact"/>
        <w:jc w:val="left"/>
        <w:rPr>
          <w:rFonts w:ascii="宋体" w:cs="宋体"/>
          <w:color w:val="000000"/>
          <w:kern w:val="0"/>
          <w:sz w:val="24"/>
          <w:szCs w:val="24"/>
          <w:highlight w:val="none"/>
        </w:rPr>
      </w:pPr>
      <w:r>
        <w:rPr>
          <w:rFonts w:hint="eastAsia" w:ascii="宋体" w:hAnsi="宋体" w:cs="宋体"/>
          <w:color w:val="000000"/>
          <w:kern w:val="0"/>
          <w:sz w:val="24"/>
          <w:szCs w:val="24"/>
          <w:highlight w:val="none"/>
        </w:rPr>
        <w:t>比较价格</w:t>
      </w:r>
      <w:r>
        <w:rPr>
          <w:rFonts w:ascii="宋体" w:hAnsi="宋体" w:cs="宋体"/>
          <w:color w:val="000000"/>
          <w:kern w:val="0"/>
          <w:sz w:val="24"/>
          <w:szCs w:val="24"/>
          <w:highlight w:val="none"/>
        </w:rPr>
        <w:t>A=</w:t>
      </w:r>
      <w:r>
        <w:rPr>
          <w:rFonts w:hint="eastAsia" w:ascii="宋体" w:hAnsi="宋体" w:cs="宋体"/>
          <w:color w:val="000000"/>
          <w:kern w:val="0"/>
          <w:sz w:val="24"/>
          <w:szCs w:val="24"/>
          <w:highlight w:val="none"/>
          <w:lang w:val="en-US" w:eastAsia="zh-CN"/>
        </w:rPr>
        <w:t>2718</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100%/102%</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100%/100%</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100%/(100%</w:t>
      </w:r>
      <w:r>
        <w:rPr>
          <w:rFonts w:hint="eastAsia" w:ascii="宋体" w:hAnsi="宋体" w:cs="宋体"/>
          <w:color w:val="000000"/>
          <w:kern w:val="0"/>
          <w:sz w:val="24"/>
          <w:szCs w:val="24"/>
          <w:highlight w:val="none"/>
          <w:lang w:val="en-US" w:eastAsia="zh-CN"/>
        </w:rPr>
        <w:t>+1</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2664</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rPr>
        <w:t>元</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rPr>
        <w:t>㎡</w:t>
      </w:r>
      <w:r>
        <w:rPr>
          <w:rFonts w:ascii="宋体" w:hAnsi="宋体" w:cs="宋体"/>
          <w:color w:val="000000"/>
          <w:kern w:val="0"/>
          <w:sz w:val="24"/>
          <w:szCs w:val="24"/>
          <w:highlight w:val="none"/>
        </w:rPr>
        <w:t>)</w:t>
      </w:r>
      <w:r>
        <w:rPr>
          <w:rFonts w:ascii="宋体" w:hAnsi="宋体" w:cs="宋体"/>
          <w:color w:val="000000"/>
          <w:kern w:val="0"/>
          <w:sz w:val="24"/>
          <w:szCs w:val="24"/>
          <w:highlight w:val="none"/>
        </w:rPr>
        <w:br w:type="textWrapping"/>
      </w:r>
      <w:r>
        <w:rPr>
          <w:rFonts w:hint="eastAsia" w:ascii="宋体" w:hAnsi="宋体" w:cs="宋体"/>
          <w:color w:val="000000"/>
          <w:kern w:val="0"/>
          <w:sz w:val="24"/>
          <w:szCs w:val="24"/>
          <w:highlight w:val="none"/>
        </w:rPr>
        <w:t>比较价格</w:t>
      </w:r>
      <w:r>
        <w:rPr>
          <w:rFonts w:ascii="宋体" w:hAnsi="宋体" w:cs="宋体"/>
          <w:color w:val="000000"/>
          <w:kern w:val="0"/>
          <w:sz w:val="24"/>
          <w:szCs w:val="24"/>
          <w:highlight w:val="none"/>
        </w:rPr>
        <w:t>B=</w:t>
      </w:r>
      <w:r>
        <w:rPr>
          <w:rFonts w:hint="eastAsia" w:ascii="宋体" w:hAnsi="宋体" w:cs="宋体"/>
          <w:color w:val="000000"/>
          <w:kern w:val="0"/>
          <w:sz w:val="24"/>
          <w:szCs w:val="24"/>
          <w:highlight w:val="none"/>
          <w:lang w:val="en-US" w:eastAsia="zh-CN"/>
        </w:rPr>
        <w:t>2575</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100%/102%</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100%/100%</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100%/(100%</w:t>
      </w:r>
      <w:r>
        <w:rPr>
          <w:rFonts w:hint="eastAsia" w:ascii="宋体" w:hAnsi="宋体" w:cs="宋体"/>
          <w:color w:val="000000"/>
          <w:kern w:val="0"/>
          <w:sz w:val="24"/>
          <w:szCs w:val="24"/>
          <w:highlight w:val="none"/>
          <w:lang w:val="en-US" w:eastAsia="zh-CN"/>
        </w:rPr>
        <w:t>-6.5</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2727</w:t>
      </w:r>
      <w:r>
        <w:rPr>
          <w:rFonts w:ascii="宋体" w:hAnsi="宋体" w:cs="宋体"/>
          <w:color w:val="000000"/>
          <w:kern w:val="0"/>
          <w:sz w:val="24"/>
          <w:szCs w:val="24"/>
          <w:highlight w:val="none"/>
        </w:rPr>
        <w:t xml:space="preserve"> (</w:t>
      </w:r>
      <w:r>
        <w:rPr>
          <w:rFonts w:hint="eastAsia" w:ascii="宋体" w:hAnsi="宋体" w:cs="宋体"/>
          <w:color w:val="000000"/>
          <w:kern w:val="0"/>
          <w:sz w:val="24"/>
          <w:szCs w:val="24"/>
          <w:highlight w:val="none"/>
        </w:rPr>
        <w:t>元</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rPr>
        <w:t>㎡</w:t>
      </w:r>
      <w:r>
        <w:rPr>
          <w:rFonts w:ascii="宋体" w:hAnsi="宋体" w:cs="宋体"/>
          <w:color w:val="000000"/>
          <w:kern w:val="0"/>
          <w:sz w:val="24"/>
          <w:szCs w:val="24"/>
          <w:highlight w:val="none"/>
        </w:rPr>
        <w:t>)</w:t>
      </w:r>
      <w:r>
        <w:rPr>
          <w:rFonts w:ascii="宋体" w:hAnsi="宋体" w:cs="宋体"/>
          <w:color w:val="000000"/>
          <w:kern w:val="0"/>
          <w:sz w:val="24"/>
          <w:szCs w:val="24"/>
          <w:highlight w:val="none"/>
        </w:rPr>
        <w:br w:type="textWrapping"/>
      </w:r>
      <w:r>
        <w:rPr>
          <w:rFonts w:hint="eastAsia" w:ascii="宋体" w:hAnsi="宋体" w:cs="宋体"/>
          <w:color w:val="000000"/>
          <w:kern w:val="0"/>
          <w:sz w:val="24"/>
          <w:szCs w:val="24"/>
          <w:highlight w:val="none"/>
        </w:rPr>
        <w:t>比较价格</w:t>
      </w:r>
      <w:r>
        <w:rPr>
          <w:rFonts w:ascii="宋体" w:hAnsi="宋体" w:cs="宋体"/>
          <w:color w:val="000000"/>
          <w:kern w:val="0"/>
          <w:sz w:val="24"/>
          <w:szCs w:val="24"/>
          <w:highlight w:val="none"/>
        </w:rPr>
        <w:t>C=</w:t>
      </w:r>
      <w:r>
        <w:rPr>
          <w:rFonts w:hint="eastAsia" w:ascii="宋体" w:hAnsi="宋体" w:cs="宋体"/>
          <w:color w:val="000000"/>
          <w:kern w:val="0"/>
          <w:sz w:val="24"/>
          <w:szCs w:val="24"/>
          <w:highlight w:val="none"/>
          <w:lang w:val="en-US" w:eastAsia="zh-CN"/>
        </w:rPr>
        <w:t>2691</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100%/102%</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100%/100%</w:t>
      </w:r>
      <w:r>
        <w:rPr>
          <w:rFonts w:hint="eastAsia" w:ascii="宋体" w:cs="宋体"/>
          <w:color w:val="000000"/>
          <w:kern w:val="0"/>
          <w:sz w:val="24"/>
          <w:szCs w:val="24"/>
          <w:highlight w:val="none"/>
        </w:rPr>
        <w:t>×</w:t>
      </w:r>
      <w:r>
        <w:rPr>
          <w:rFonts w:ascii="宋体" w:hAnsi="宋体" w:cs="宋体"/>
          <w:color w:val="000000"/>
          <w:kern w:val="0"/>
          <w:sz w:val="24"/>
          <w:szCs w:val="24"/>
          <w:highlight w:val="none"/>
        </w:rPr>
        <w:t>100%/(100%</w:t>
      </w:r>
      <w:r>
        <w:rPr>
          <w:rFonts w:hint="eastAsia" w:ascii="宋体" w:hAnsi="宋体" w:cs="宋体"/>
          <w:color w:val="000000"/>
          <w:kern w:val="0"/>
          <w:sz w:val="24"/>
          <w:szCs w:val="24"/>
          <w:highlight w:val="none"/>
          <w:lang w:val="en-US" w:eastAsia="zh-CN"/>
        </w:rPr>
        <w:t>-4</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2775</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rPr>
        <w:t>元</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rPr>
        <w:t>㎡</w:t>
      </w:r>
      <w:r>
        <w:rPr>
          <w:rFonts w:ascii="宋体" w:hAnsi="宋体" w:cs="宋体"/>
          <w:color w:val="000000"/>
          <w:kern w:val="0"/>
          <w:sz w:val="24"/>
          <w:szCs w:val="24"/>
          <w:highlight w:val="none"/>
        </w:rPr>
        <w:t xml:space="preserve">) </w:t>
      </w:r>
    </w:p>
    <w:p>
      <w:pPr>
        <w:widowControl/>
        <w:spacing w:line="420" w:lineRule="exact"/>
        <w:ind w:firstLine="260" w:firstLineChars="100"/>
        <w:rPr>
          <w:rFonts w:ascii="宋体"/>
          <w:color w:val="000000"/>
          <w:spacing w:val="10"/>
          <w:sz w:val="24"/>
          <w:highlight w:val="none"/>
        </w:rPr>
      </w:pPr>
      <w:r>
        <w:rPr>
          <w:rFonts w:hint="eastAsia" w:ascii="宋体" w:hAnsi="宋体"/>
          <w:color w:val="000000"/>
          <w:spacing w:val="10"/>
          <w:sz w:val="24"/>
          <w:highlight w:val="none"/>
        </w:rPr>
        <w:t>（</w:t>
      </w:r>
      <w:r>
        <w:rPr>
          <w:rFonts w:ascii="宋体" w:hAnsi="宋体"/>
          <w:color w:val="000000"/>
          <w:spacing w:val="10"/>
          <w:sz w:val="24"/>
          <w:highlight w:val="none"/>
        </w:rPr>
        <w:t>4</w:t>
      </w:r>
      <w:r>
        <w:rPr>
          <w:rFonts w:hint="eastAsia" w:ascii="宋体" w:hAnsi="宋体"/>
          <w:color w:val="000000"/>
          <w:spacing w:val="10"/>
          <w:sz w:val="24"/>
          <w:highlight w:val="none"/>
        </w:rPr>
        <w:t>）估价结果确定</w:t>
      </w:r>
    </w:p>
    <w:p>
      <w:pPr>
        <w:widowControl/>
        <w:spacing w:line="420" w:lineRule="exact"/>
        <w:rPr>
          <w:rFonts w:ascii="宋体"/>
          <w:color w:val="000000"/>
          <w:spacing w:val="10"/>
          <w:sz w:val="24"/>
          <w:highlight w:val="none"/>
        </w:rPr>
      </w:pPr>
      <w:r>
        <w:rPr>
          <w:rFonts w:hint="eastAsia" w:ascii="宋体" w:hAnsi="宋体"/>
          <w:color w:val="000000"/>
          <w:spacing w:val="10"/>
          <w:sz w:val="24"/>
          <w:highlight w:val="none"/>
        </w:rPr>
        <w:t>取以上三个比较价格的算术平均值作为估价对象的估价单价，即：</w:t>
      </w:r>
    </w:p>
    <w:p>
      <w:pPr>
        <w:widowControl/>
        <w:spacing w:line="420" w:lineRule="exact"/>
        <w:ind w:firstLine="560"/>
        <w:rPr>
          <w:rFonts w:hint="eastAsia" w:ascii="宋体" w:hAnsi="宋体"/>
          <w:color w:val="000000"/>
          <w:spacing w:val="10"/>
          <w:sz w:val="24"/>
          <w:highlight w:val="none"/>
        </w:rPr>
      </w:pPr>
      <w:r>
        <w:rPr>
          <w:rFonts w:ascii="宋体" w:hAnsi="宋体"/>
          <w:color w:val="000000"/>
          <w:spacing w:val="10"/>
          <w:sz w:val="24"/>
          <w:highlight w:val="none"/>
        </w:rPr>
        <w:t>(</w:t>
      </w:r>
      <w:r>
        <w:rPr>
          <w:rFonts w:hint="eastAsia" w:ascii="宋体" w:hAnsi="宋体" w:cs="宋体"/>
          <w:color w:val="000000"/>
          <w:kern w:val="0"/>
          <w:sz w:val="24"/>
          <w:szCs w:val="24"/>
          <w:highlight w:val="none"/>
          <w:lang w:val="en-US" w:eastAsia="zh-CN"/>
        </w:rPr>
        <w:t>266</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2727</w:t>
      </w:r>
      <w:r>
        <w:rPr>
          <w:rFonts w:ascii="宋体" w:hAnsi="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2775</w:t>
      </w:r>
      <w:r>
        <w:rPr>
          <w:rFonts w:hint="eastAsia" w:ascii="宋体" w:hAnsi="宋体"/>
          <w:color w:val="000000"/>
          <w:spacing w:val="10"/>
          <w:sz w:val="24"/>
          <w:highlight w:val="none"/>
        </w:rPr>
        <w:t>）</w:t>
      </w:r>
      <w:r>
        <w:rPr>
          <w:rFonts w:ascii="宋体" w:hAnsi="宋体"/>
          <w:color w:val="000000"/>
          <w:spacing w:val="10"/>
          <w:sz w:val="24"/>
          <w:highlight w:val="none"/>
        </w:rPr>
        <w:t>/3</w:t>
      </w:r>
      <w:r>
        <w:rPr>
          <w:rFonts w:hint="eastAsia" w:ascii="宋体" w:hAnsi="宋体" w:cs="宋体"/>
          <w:color w:val="000000"/>
          <w:kern w:val="0"/>
          <w:sz w:val="24"/>
          <w:szCs w:val="24"/>
          <w:highlight w:val="none"/>
        </w:rPr>
        <w:t>≈</w:t>
      </w:r>
      <w:r>
        <w:rPr>
          <w:rFonts w:hint="eastAsia" w:ascii="宋体" w:hAnsi="宋体" w:cs="宋体"/>
          <w:color w:val="000000"/>
          <w:kern w:val="0"/>
          <w:sz w:val="24"/>
          <w:szCs w:val="24"/>
          <w:highlight w:val="none"/>
          <w:lang w:val="en-US" w:eastAsia="zh-CN"/>
        </w:rPr>
        <w:t>2722</w:t>
      </w:r>
      <w:r>
        <w:rPr>
          <w:rFonts w:hint="eastAsia" w:ascii="宋体" w:hAnsi="宋体"/>
          <w:color w:val="000000"/>
          <w:spacing w:val="10"/>
          <w:sz w:val="24"/>
          <w:highlight w:val="none"/>
        </w:rPr>
        <w:t>（元／平方米）</w:t>
      </w:r>
    </w:p>
    <w:p>
      <w:pPr>
        <w:widowControl/>
        <w:spacing w:line="460" w:lineRule="exact"/>
        <w:ind w:firstLine="360" w:firstLineChars="150"/>
        <w:rPr>
          <w:rFonts w:ascii="宋体"/>
          <w:spacing w:val="10"/>
          <w:sz w:val="24"/>
          <w:szCs w:val="24"/>
          <w:highlight w:val="none"/>
        </w:rPr>
      </w:pPr>
      <w:r>
        <w:rPr>
          <w:rFonts w:hint="eastAsia" w:ascii="宋体" w:hAnsi="宋体"/>
          <w:sz w:val="24"/>
          <w:szCs w:val="24"/>
          <w:highlight w:val="none"/>
        </w:rPr>
        <w:t>根据测算，本次估价采用市场法</w:t>
      </w:r>
      <w:r>
        <w:rPr>
          <w:rFonts w:hint="eastAsia" w:ascii="宋体" w:hAnsi="宋体"/>
          <w:sz w:val="24"/>
          <w:szCs w:val="24"/>
          <w:highlight w:val="none"/>
          <w:lang w:eastAsia="zh-CN"/>
        </w:rPr>
        <w:t>（住宅用房）</w:t>
      </w:r>
      <w:r>
        <w:rPr>
          <w:rFonts w:hint="eastAsia" w:ascii="宋体" w:hAnsi="宋体"/>
          <w:sz w:val="24"/>
          <w:szCs w:val="24"/>
          <w:highlight w:val="none"/>
        </w:rPr>
        <w:t>得出的比准价格是</w:t>
      </w:r>
      <w:r>
        <w:rPr>
          <w:rFonts w:hint="eastAsia" w:ascii="宋体" w:hAnsi="宋体"/>
          <w:spacing w:val="10"/>
          <w:sz w:val="24"/>
          <w:szCs w:val="24"/>
          <w:highlight w:val="none"/>
          <w:lang w:val="en-US" w:eastAsia="zh-CN"/>
        </w:rPr>
        <w:t>2722</w:t>
      </w:r>
      <w:r>
        <w:rPr>
          <w:rFonts w:hint="eastAsia" w:ascii="宋体" w:hAnsi="宋体"/>
          <w:spacing w:val="10"/>
          <w:sz w:val="24"/>
          <w:szCs w:val="24"/>
          <w:highlight w:val="none"/>
        </w:rPr>
        <w:t>元</w:t>
      </w:r>
      <w:r>
        <w:rPr>
          <w:rFonts w:ascii="宋体" w:hAnsi="宋体"/>
          <w:spacing w:val="10"/>
          <w:sz w:val="24"/>
          <w:szCs w:val="24"/>
          <w:highlight w:val="none"/>
        </w:rPr>
        <w:t>/</w:t>
      </w:r>
      <w:r>
        <w:rPr>
          <w:rFonts w:hint="eastAsia" w:ascii="宋体" w:hAnsi="宋体"/>
          <w:spacing w:val="10"/>
          <w:sz w:val="24"/>
          <w:szCs w:val="24"/>
          <w:highlight w:val="none"/>
        </w:rPr>
        <w:t>㎡</w:t>
      </w:r>
      <w:r>
        <w:rPr>
          <w:rFonts w:hint="eastAsia" w:ascii="宋体" w:hAnsi="宋体"/>
          <w:sz w:val="24"/>
          <w:szCs w:val="24"/>
          <w:highlight w:val="none"/>
        </w:rPr>
        <w:t>，采用收益法</w:t>
      </w:r>
      <w:r>
        <w:rPr>
          <w:rFonts w:hint="eastAsia" w:ascii="宋体" w:hAnsi="宋体"/>
          <w:sz w:val="24"/>
          <w:szCs w:val="24"/>
          <w:highlight w:val="none"/>
          <w:lang w:eastAsia="zh-CN"/>
        </w:rPr>
        <w:t>（住宅用房）</w:t>
      </w:r>
      <w:r>
        <w:rPr>
          <w:rFonts w:hint="eastAsia" w:ascii="宋体" w:hAnsi="宋体"/>
          <w:sz w:val="24"/>
          <w:szCs w:val="24"/>
          <w:highlight w:val="none"/>
        </w:rPr>
        <w:t>得出的收益价格是</w:t>
      </w:r>
      <w:r>
        <w:rPr>
          <w:rFonts w:hint="eastAsia" w:ascii="宋体" w:hAnsi="宋体"/>
          <w:sz w:val="24"/>
          <w:szCs w:val="24"/>
          <w:highlight w:val="none"/>
          <w:lang w:val="en-US" w:eastAsia="zh-CN"/>
        </w:rPr>
        <w:t>2717</w:t>
      </w:r>
      <w:r>
        <w:rPr>
          <w:rFonts w:hint="eastAsia" w:ascii="宋体" w:hAnsi="宋体"/>
          <w:spacing w:val="10"/>
          <w:sz w:val="24"/>
          <w:szCs w:val="24"/>
          <w:highlight w:val="none"/>
        </w:rPr>
        <w:t>元</w:t>
      </w:r>
      <w:r>
        <w:rPr>
          <w:rFonts w:ascii="宋体" w:hAnsi="宋体"/>
          <w:spacing w:val="10"/>
          <w:sz w:val="24"/>
          <w:szCs w:val="24"/>
          <w:highlight w:val="none"/>
        </w:rPr>
        <w:t>/</w:t>
      </w:r>
      <w:r>
        <w:rPr>
          <w:rFonts w:hint="eastAsia" w:ascii="宋体" w:hAnsi="宋体"/>
          <w:spacing w:val="10"/>
          <w:sz w:val="24"/>
          <w:szCs w:val="24"/>
          <w:highlight w:val="none"/>
        </w:rPr>
        <w:t>㎡</w:t>
      </w:r>
      <w:r>
        <w:rPr>
          <w:rFonts w:hint="eastAsia" w:ascii="宋体" w:hAnsi="宋体"/>
          <w:spacing w:val="10"/>
          <w:sz w:val="24"/>
          <w:szCs w:val="24"/>
          <w:highlight w:val="none"/>
          <w:lang w:eastAsia="zh-CN"/>
        </w:rPr>
        <w:t>、</w:t>
      </w:r>
      <w:r>
        <w:rPr>
          <w:rFonts w:hint="eastAsia" w:ascii="宋体" w:hAnsi="宋体"/>
          <w:sz w:val="24"/>
          <w:szCs w:val="24"/>
          <w:highlight w:val="none"/>
        </w:rPr>
        <w:t>采用收益法得出的收益价格是</w:t>
      </w:r>
      <w:r>
        <w:rPr>
          <w:rFonts w:hint="eastAsia" w:ascii="宋体" w:hAnsi="宋体"/>
          <w:sz w:val="24"/>
          <w:szCs w:val="24"/>
          <w:highlight w:val="none"/>
          <w:lang w:val="en-US" w:eastAsia="zh-CN"/>
        </w:rPr>
        <w:t>11189</w:t>
      </w:r>
      <w:r>
        <w:rPr>
          <w:rFonts w:hint="eastAsia" w:ascii="宋体" w:hAnsi="宋体"/>
          <w:spacing w:val="10"/>
          <w:sz w:val="24"/>
          <w:szCs w:val="24"/>
          <w:highlight w:val="none"/>
        </w:rPr>
        <w:t>元</w:t>
      </w:r>
      <w:r>
        <w:rPr>
          <w:rFonts w:ascii="宋体" w:hAnsi="宋体"/>
          <w:spacing w:val="10"/>
          <w:sz w:val="24"/>
          <w:szCs w:val="24"/>
          <w:highlight w:val="none"/>
        </w:rPr>
        <w:t>/</w:t>
      </w:r>
      <w:r>
        <w:rPr>
          <w:rFonts w:hint="eastAsia" w:ascii="宋体" w:hAnsi="宋体"/>
          <w:spacing w:val="10"/>
          <w:sz w:val="24"/>
          <w:szCs w:val="24"/>
          <w:highlight w:val="none"/>
        </w:rPr>
        <w:t>㎡</w:t>
      </w:r>
      <w:r>
        <w:rPr>
          <w:rFonts w:hint="eastAsia" w:ascii="宋体" w:hAnsi="宋体"/>
          <w:spacing w:val="10"/>
          <w:sz w:val="24"/>
          <w:szCs w:val="24"/>
          <w:highlight w:val="none"/>
          <w:lang w:eastAsia="zh-CN"/>
        </w:rPr>
        <w:t>（</w:t>
      </w:r>
      <w:r>
        <w:rPr>
          <w:rFonts w:hint="eastAsia" w:ascii="宋体" w:hAnsi="宋体"/>
          <w:spacing w:val="10"/>
          <w:sz w:val="24"/>
          <w:szCs w:val="24"/>
          <w:highlight w:val="none"/>
          <w:lang w:val="en-US" w:eastAsia="zh-CN"/>
        </w:rPr>
        <w:t>01幢101号商业用房）和5502元</w:t>
      </w:r>
      <w:r>
        <w:rPr>
          <w:rFonts w:ascii="宋体" w:hAnsi="宋体"/>
          <w:spacing w:val="10"/>
          <w:sz w:val="24"/>
          <w:szCs w:val="24"/>
          <w:highlight w:val="none"/>
        </w:rPr>
        <w:t>/</w:t>
      </w:r>
      <w:r>
        <w:rPr>
          <w:rFonts w:hint="eastAsia" w:ascii="宋体" w:hAnsi="宋体"/>
          <w:spacing w:val="10"/>
          <w:sz w:val="24"/>
          <w:szCs w:val="24"/>
          <w:highlight w:val="none"/>
        </w:rPr>
        <w:t>㎡</w:t>
      </w:r>
      <w:r>
        <w:rPr>
          <w:rFonts w:hint="eastAsia" w:ascii="宋体" w:hAnsi="宋体"/>
          <w:spacing w:val="10"/>
          <w:sz w:val="24"/>
          <w:szCs w:val="24"/>
          <w:highlight w:val="none"/>
          <w:lang w:eastAsia="zh-CN"/>
        </w:rPr>
        <w:t>（</w:t>
      </w:r>
      <w:r>
        <w:rPr>
          <w:rFonts w:hint="eastAsia" w:ascii="宋体" w:hAnsi="宋体"/>
          <w:spacing w:val="10"/>
          <w:sz w:val="24"/>
          <w:szCs w:val="24"/>
          <w:highlight w:val="none"/>
          <w:lang w:val="en-US" w:eastAsia="zh-CN"/>
        </w:rPr>
        <w:t>02幢104、105号商业用房）</w:t>
      </w:r>
      <w:r>
        <w:rPr>
          <w:rFonts w:hint="eastAsia" w:ascii="宋体" w:hAnsi="宋体"/>
          <w:spacing w:val="10"/>
          <w:sz w:val="24"/>
          <w:szCs w:val="24"/>
          <w:highlight w:val="none"/>
        </w:rPr>
        <w:t>由于</w:t>
      </w:r>
      <w:r>
        <w:rPr>
          <w:rFonts w:hint="eastAsia" w:ascii="宋体" w:hAnsi="宋体"/>
          <w:spacing w:val="10"/>
          <w:sz w:val="24"/>
          <w:szCs w:val="24"/>
          <w:highlight w:val="none"/>
          <w:lang w:eastAsia="zh-CN"/>
        </w:rPr>
        <w:t>住宅用房的</w:t>
      </w:r>
      <w:r>
        <w:rPr>
          <w:rFonts w:hint="eastAsia" w:ascii="宋体" w:hAnsi="宋体"/>
          <w:spacing w:val="10"/>
          <w:sz w:val="24"/>
          <w:szCs w:val="24"/>
          <w:highlight w:val="none"/>
        </w:rPr>
        <w:t>两种方法得出的结果差距不大，且均是估价对象价值的客观反映，估价人员确定以两种方法计算结果的简单算术平均值作为估价对象</w:t>
      </w:r>
      <w:r>
        <w:rPr>
          <w:rFonts w:hint="eastAsia" w:ascii="宋体" w:hAnsi="宋体"/>
          <w:spacing w:val="10"/>
          <w:sz w:val="24"/>
          <w:szCs w:val="24"/>
          <w:highlight w:val="none"/>
          <w:lang w:eastAsia="zh-CN"/>
        </w:rPr>
        <w:t>（住宅用房）</w:t>
      </w:r>
      <w:r>
        <w:rPr>
          <w:rFonts w:hint="eastAsia" w:ascii="宋体" w:hAnsi="宋体"/>
          <w:spacing w:val="10"/>
          <w:sz w:val="24"/>
          <w:szCs w:val="24"/>
          <w:highlight w:val="none"/>
        </w:rPr>
        <w:t>的最终评估值，即：</w:t>
      </w:r>
    </w:p>
    <w:p>
      <w:pPr>
        <w:widowControl/>
        <w:spacing w:line="460" w:lineRule="exact"/>
        <w:ind w:firstLine="520" w:firstLineChars="200"/>
        <w:rPr>
          <w:rFonts w:hint="eastAsia" w:ascii="宋体" w:hAnsi="宋体"/>
          <w:color w:val="000000"/>
          <w:spacing w:val="10"/>
          <w:sz w:val="24"/>
          <w:highlight w:val="none"/>
        </w:rPr>
      </w:pPr>
      <w:r>
        <w:rPr>
          <w:rFonts w:hint="eastAsia" w:ascii="宋体" w:hAnsi="宋体"/>
          <w:spacing w:val="10"/>
          <w:sz w:val="24"/>
          <w:szCs w:val="24"/>
          <w:highlight w:val="none"/>
        </w:rPr>
        <w:t>估价对象</w:t>
      </w:r>
      <w:r>
        <w:rPr>
          <w:rFonts w:hint="eastAsia" w:ascii="宋体" w:hAnsi="宋体"/>
          <w:spacing w:val="10"/>
          <w:sz w:val="24"/>
          <w:szCs w:val="24"/>
          <w:highlight w:val="none"/>
          <w:lang w:eastAsia="zh-CN"/>
        </w:rPr>
        <w:t>（住宅用房）</w:t>
      </w:r>
      <w:r>
        <w:rPr>
          <w:rFonts w:hint="eastAsia" w:ascii="宋体" w:hAnsi="宋体"/>
          <w:spacing w:val="10"/>
          <w:sz w:val="24"/>
          <w:szCs w:val="24"/>
          <w:highlight w:val="none"/>
        </w:rPr>
        <w:t>单价</w:t>
      </w:r>
      <w:r>
        <w:rPr>
          <w:rFonts w:ascii="宋体" w:hAnsi="宋体"/>
          <w:spacing w:val="10"/>
          <w:sz w:val="24"/>
          <w:szCs w:val="24"/>
          <w:highlight w:val="none"/>
        </w:rPr>
        <w:t>=</w:t>
      </w:r>
      <w:r>
        <w:rPr>
          <w:rFonts w:hint="eastAsia" w:ascii="宋体" w:hAnsi="宋体"/>
          <w:spacing w:val="10"/>
          <w:sz w:val="24"/>
          <w:szCs w:val="24"/>
          <w:highlight w:val="none"/>
        </w:rPr>
        <w:t>（</w:t>
      </w:r>
      <w:r>
        <w:rPr>
          <w:rFonts w:hint="eastAsia" w:ascii="宋体" w:hAnsi="宋体"/>
          <w:spacing w:val="10"/>
          <w:sz w:val="24"/>
          <w:szCs w:val="24"/>
          <w:highlight w:val="none"/>
          <w:lang w:val="en-US" w:eastAsia="zh-CN"/>
        </w:rPr>
        <w:t>2722</w:t>
      </w:r>
      <w:r>
        <w:rPr>
          <w:rFonts w:ascii="宋体" w:hAnsi="宋体"/>
          <w:spacing w:val="10"/>
          <w:sz w:val="24"/>
          <w:szCs w:val="24"/>
          <w:highlight w:val="none"/>
        </w:rPr>
        <w:t>+</w:t>
      </w:r>
      <w:r>
        <w:rPr>
          <w:rFonts w:hint="eastAsia" w:ascii="宋体" w:hAnsi="宋体"/>
          <w:spacing w:val="10"/>
          <w:sz w:val="24"/>
          <w:szCs w:val="24"/>
          <w:highlight w:val="none"/>
          <w:lang w:val="en-US" w:eastAsia="zh-CN"/>
        </w:rPr>
        <w:t>2717</w:t>
      </w:r>
      <w:r>
        <w:rPr>
          <w:rFonts w:hint="eastAsia" w:ascii="宋体" w:hAnsi="宋体"/>
          <w:spacing w:val="10"/>
          <w:sz w:val="24"/>
          <w:szCs w:val="24"/>
          <w:highlight w:val="none"/>
        </w:rPr>
        <w:t>）</w:t>
      </w:r>
      <w:r>
        <w:rPr>
          <w:rFonts w:ascii="宋体" w:hAnsi="宋体"/>
          <w:spacing w:val="10"/>
          <w:sz w:val="24"/>
          <w:szCs w:val="24"/>
          <w:highlight w:val="none"/>
        </w:rPr>
        <w:t>/2</w:t>
      </w:r>
      <w:r>
        <w:rPr>
          <w:rFonts w:ascii="Arial" w:hAnsi="Arial" w:cs="Arial"/>
          <w:spacing w:val="10"/>
          <w:sz w:val="24"/>
          <w:szCs w:val="24"/>
          <w:highlight w:val="none"/>
        </w:rPr>
        <w:t>=</w:t>
      </w:r>
      <w:r>
        <w:rPr>
          <w:rFonts w:hint="eastAsia" w:ascii="宋体" w:hAnsi="宋体"/>
          <w:spacing w:val="10"/>
          <w:sz w:val="24"/>
          <w:szCs w:val="24"/>
          <w:highlight w:val="none"/>
          <w:lang w:val="en-US" w:eastAsia="zh-CN"/>
        </w:rPr>
        <w:t>2720</w:t>
      </w:r>
      <w:r>
        <w:rPr>
          <w:rFonts w:ascii="宋体" w:hAnsi="宋体"/>
          <w:spacing w:val="10"/>
          <w:sz w:val="24"/>
          <w:szCs w:val="24"/>
          <w:highlight w:val="none"/>
        </w:rPr>
        <w:t>(</w:t>
      </w:r>
      <w:r>
        <w:rPr>
          <w:rFonts w:hint="eastAsia" w:ascii="宋体" w:hAnsi="宋体"/>
          <w:spacing w:val="10"/>
          <w:sz w:val="24"/>
          <w:szCs w:val="24"/>
          <w:highlight w:val="none"/>
        </w:rPr>
        <w:t>元</w:t>
      </w:r>
      <w:r>
        <w:rPr>
          <w:rFonts w:ascii="宋体" w:hAnsi="宋体"/>
          <w:spacing w:val="10"/>
          <w:sz w:val="24"/>
          <w:szCs w:val="24"/>
          <w:highlight w:val="none"/>
        </w:rPr>
        <w:t>/</w:t>
      </w:r>
      <w:r>
        <w:rPr>
          <w:rFonts w:hint="eastAsia" w:ascii="宋体" w:hAnsi="宋体"/>
          <w:spacing w:val="10"/>
          <w:sz w:val="24"/>
          <w:szCs w:val="24"/>
          <w:highlight w:val="none"/>
        </w:rPr>
        <w:t>㎡</w:t>
      </w:r>
      <w:r>
        <w:rPr>
          <w:rFonts w:ascii="宋体" w:hAnsi="宋体"/>
          <w:spacing w:val="10"/>
          <w:sz w:val="24"/>
          <w:szCs w:val="24"/>
          <w:highlight w:val="none"/>
        </w:rPr>
        <w:t>)</w:t>
      </w:r>
    </w:p>
    <w:p>
      <w:pPr>
        <w:spacing w:line="360" w:lineRule="auto"/>
        <w:rPr>
          <w:b/>
          <w:bCs/>
          <w:sz w:val="24"/>
          <w:szCs w:val="24"/>
        </w:rPr>
      </w:pPr>
      <w:r>
        <w:rPr>
          <w:rFonts w:hint="eastAsia" w:cs="宋体"/>
          <w:b/>
          <w:bCs/>
          <w:sz w:val="24"/>
          <w:szCs w:val="24"/>
        </w:rPr>
        <w:t>六、估价结果确定</w:t>
      </w:r>
    </w:p>
    <w:p>
      <w:pPr>
        <w:widowControl/>
        <w:spacing w:line="440" w:lineRule="exact"/>
        <w:ind w:firstLine="480" w:firstLineChars="200"/>
        <w:rPr>
          <w:rFonts w:ascii="宋体"/>
          <w:b/>
          <w:bCs/>
          <w:color w:val="000000"/>
          <w:spacing w:val="10"/>
          <w:sz w:val="24"/>
          <w:szCs w:val="24"/>
        </w:rPr>
      </w:pPr>
      <w:r>
        <w:rPr>
          <w:rFonts w:hint="eastAsia" w:ascii="宋体" w:hAnsi="宋体" w:cs="宋体"/>
          <w:kern w:val="0"/>
          <w:sz w:val="24"/>
          <w:szCs w:val="24"/>
        </w:rPr>
        <w:t>本次估价，</w:t>
      </w:r>
      <w:r>
        <w:rPr>
          <w:rFonts w:hint="eastAsia" w:ascii="宋体" w:hAnsi="宋体" w:cs="宋体"/>
          <w:spacing w:val="10"/>
          <w:sz w:val="24"/>
          <w:szCs w:val="24"/>
        </w:rPr>
        <w:t>根据估价目的，遵循估价原则，采用科学合理的估价方法，在认真分析现有资料的基础上，经过测算，结合估价经验与对影响房地产市场价格因素进行分析，在估价对象未设定法定优先受偿权利下，于市场上有足够的买方和卖方，并且进入市场无障碍的条件下，</w:t>
      </w:r>
      <w:r>
        <w:rPr>
          <w:rFonts w:hint="eastAsia" w:ascii="宋体" w:hAnsi="宋体" w:cs="宋体"/>
          <w:color w:val="000000"/>
          <w:sz w:val="24"/>
          <w:szCs w:val="24"/>
        </w:rPr>
        <w:t>于价值时点的市场价值总价为</w:t>
      </w:r>
      <w:r>
        <w:rPr>
          <w:rFonts w:hint="eastAsia" w:ascii="宋体" w:hAnsi="宋体" w:cs="宋体"/>
          <w:color w:val="000000"/>
          <w:sz w:val="24"/>
          <w:szCs w:val="24"/>
          <w:lang w:eastAsia="zh-CN"/>
        </w:rPr>
        <w:t>167.6803万元</w:t>
      </w:r>
      <w:r>
        <w:rPr>
          <w:rFonts w:ascii="宋体" w:hAnsi="宋体" w:cs="宋体"/>
          <w:color w:val="000000"/>
          <w:kern w:val="0"/>
          <w:sz w:val="24"/>
          <w:szCs w:val="24"/>
        </w:rPr>
        <w:t>(</w:t>
      </w:r>
      <w:r>
        <w:rPr>
          <w:rFonts w:hint="eastAsia" w:ascii="宋体" w:hAnsi="宋体" w:cs="宋体"/>
          <w:color w:val="000000"/>
          <w:kern w:val="0"/>
          <w:sz w:val="24"/>
          <w:szCs w:val="24"/>
          <w:lang w:eastAsia="zh-CN"/>
        </w:rPr>
        <w:t>大写：人民币壹佰陆拾柒万陆仟捌佰零叁元整</w:t>
      </w:r>
      <w:r>
        <w:rPr>
          <w:rFonts w:ascii="宋体" w:hAnsi="宋体" w:cs="宋体"/>
          <w:color w:val="000000"/>
          <w:kern w:val="0"/>
          <w:sz w:val="24"/>
          <w:szCs w:val="24"/>
        </w:rPr>
        <w:t>)</w:t>
      </w:r>
      <w:r>
        <w:rPr>
          <w:rFonts w:hint="eastAsia" w:ascii="宋体" w:hAnsi="宋体" w:cs="宋体"/>
          <w:color w:val="000000"/>
          <w:spacing w:val="10"/>
          <w:sz w:val="24"/>
          <w:szCs w:val="24"/>
        </w:rPr>
        <w:t>。</w:t>
      </w:r>
    </w:p>
    <w:p>
      <w:pPr>
        <w:widowControl/>
        <w:spacing w:line="360" w:lineRule="auto"/>
        <w:ind w:firstLine="522" w:firstLineChars="200"/>
        <w:jc w:val="center"/>
        <w:rPr>
          <w:rFonts w:hint="eastAsia" w:ascii="宋体" w:hAnsi="宋体" w:cs="宋体"/>
          <w:b/>
          <w:bCs/>
          <w:color w:val="000000"/>
          <w:spacing w:val="10"/>
          <w:sz w:val="24"/>
          <w:szCs w:val="24"/>
        </w:rPr>
      </w:pPr>
      <w:r>
        <w:rPr>
          <w:rFonts w:hint="eastAsia" w:ascii="宋体" w:hAnsi="宋体" w:cs="宋体"/>
          <w:b/>
          <w:bCs/>
          <w:color w:val="000000"/>
          <w:spacing w:val="10"/>
          <w:sz w:val="24"/>
          <w:szCs w:val="24"/>
        </w:rPr>
        <w:t>估价结果一览表</w:t>
      </w:r>
    </w:p>
    <w:tbl>
      <w:tblPr>
        <w:tblStyle w:val="40"/>
        <w:tblW w:w="8645" w:type="dxa"/>
        <w:jc w:val="center"/>
        <w:tblInd w:w="0" w:type="dxa"/>
        <w:tblLayout w:type="fixed"/>
        <w:tblCellMar>
          <w:top w:w="0" w:type="dxa"/>
          <w:left w:w="108" w:type="dxa"/>
          <w:bottom w:w="0" w:type="dxa"/>
          <w:right w:w="108" w:type="dxa"/>
        </w:tblCellMar>
      </w:tblPr>
      <w:tblGrid>
        <w:gridCol w:w="382"/>
        <w:gridCol w:w="855"/>
        <w:gridCol w:w="675"/>
        <w:gridCol w:w="675"/>
        <w:gridCol w:w="555"/>
        <w:gridCol w:w="540"/>
        <w:gridCol w:w="633"/>
        <w:gridCol w:w="699"/>
        <w:gridCol w:w="663"/>
        <w:gridCol w:w="705"/>
        <w:gridCol w:w="658"/>
        <w:gridCol w:w="747"/>
        <w:gridCol w:w="858"/>
      </w:tblGrid>
      <w:tr>
        <w:tblPrEx>
          <w:tblLayout w:type="fixed"/>
          <w:tblCellMar>
            <w:top w:w="0" w:type="dxa"/>
            <w:left w:w="108" w:type="dxa"/>
            <w:bottom w:w="0" w:type="dxa"/>
            <w:right w:w="108" w:type="dxa"/>
          </w:tblCellMar>
        </w:tblPrEx>
        <w:trPr>
          <w:trHeight w:val="480" w:hRule="atLeast"/>
          <w:jc w:val="center"/>
        </w:trPr>
        <w:tc>
          <w:tcPr>
            <w:tcW w:w="3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序号</w:t>
            </w:r>
          </w:p>
        </w:tc>
        <w:tc>
          <w:tcPr>
            <w:tcW w:w="8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所有权证号</w:t>
            </w:r>
          </w:p>
        </w:tc>
        <w:tc>
          <w:tcPr>
            <w:tcW w:w="67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所有权人</w:t>
            </w:r>
          </w:p>
        </w:tc>
        <w:tc>
          <w:tcPr>
            <w:tcW w:w="675"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坐落</w:t>
            </w:r>
          </w:p>
        </w:tc>
        <w:tc>
          <w:tcPr>
            <w:tcW w:w="55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栋号</w:t>
            </w:r>
          </w:p>
        </w:tc>
        <w:tc>
          <w:tcPr>
            <w:tcW w:w="540"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房号</w:t>
            </w:r>
          </w:p>
        </w:tc>
        <w:tc>
          <w:tcPr>
            <w:tcW w:w="633"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所在层数</w:t>
            </w:r>
            <w:r>
              <w:rPr>
                <w:rFonts w:ascii="宋体" w:hAnsi="宋体" w:cs="宋体"/>
                <w:color w:val="000000"/>
                <w:kern w:val="0"/>
                <w:sz w:val="20"/>
                <w:szCs w:val="20"/>
              </w:rPr>
              <w:t>/</w:t>
            </w:r>
            <w:r>
              <w:rPr>
                <w:rFonts w:hint="eastAsia" w:ascii="宋体" w:hAnsi="宋体" w:cs="宋体"/>
                <w:color w:val="000000"/>
                <w:kern w:val="0"/>
                <w:sz w:val="20"/>
                <w:szCs w:val="20"/>
              </w:rPr>
              <w:t>总层数</w:t>
            </w:r>
          </w:p>
        </w:tc>
        <w:tc>
          <w:tcPr>
            <w:tcW w:w="699"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建筑面积（㎡）</w:t>
            </w:r>
          </w:p>
        </w:tc>
        <w:tc>
          <w:tcPr>
            <w:tcW w:w="663"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结构</w:t>
            </w:r>
          </w:p>
        </w:tc>
        <w:tc>
          <w:tcPr>
            <w:tcW w:w="70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登记用途</w:t>
            </w:r>
          </w:p>
        </w:tc>
        <w:tc>
          <w:tcPr>
            <w:tcW w:w="658" w:type="dxa"/>
            <w:tcBorders>
              <w:top w:val="single" w:color="auto" w:sz="4" w:space="0"/>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eastAsia="zh-CN"/>
              </w:rPr>
              <w:t>实际</w:t>
            </w:r>
            <w:r>
              <w:rPr>
                <w:rFonts w:hint="eastAsia" w:ascii="宋体" w:hAnsi="宋体" w:cs="宋体"/>
                <w:color w:val="000000"/>
                <w:kern w:val="0"/>
                <w:sz w:val="20"/>
                <w:szCs w:val="20"/>
              </w:rPr>
              <w:t>用途</w:t>
            </w:r>
          </w:p>
        </w:tc>
        <w:tc>
          <w:tcPr>
            <w:tcW w:w="74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r>
              <w:rPr>
                <w:rFonts w:hint="eastAsia" w:ascii="宋体" w:hAnsi="宋体" w:cs="宋体"/>
                <w:kern w:val="0"/>
                <w:sz w:val="20"/>
                <w:szCs w:val="20"/>
              </w:rPr>
              <w:t>评估单价（元/㎡）</w:t>
            </w:r>
          </w:p>
        </w:tc>
        <w:tc>
          <w:tcPr>
            <w:tcW w:w="858"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r>
              <w:rPr>
                <w:rFonts w:hint="eastAsia" w:ascii="宋体" w:hAnsi="宋体" w:cs="宋体"/>
                <w:kern w:val="0"/>
                <w:sz w:val="20"/>
                <w:szCs w:val="20"/>
              </w:rPr>
              <w:t>评估总价（万元）</w:t>
            </w:r>
          </w:p>
        </w:tc>
      </w:tr>
      <w:tr>
        <w:tblPrEx>
          <w:tblLayout w:type="fixed"/>
          <w:tblCellMar>
            <w:top w:w="0" w:type="dxa"/>
            <w:left w:w="108" w:type="dxa"/>
            <w:bottom w:w="0" w:type="dxa"/>
            <w:right w:w="108" w:type="dxa"/>
          </w:tblCellMar>
        </w:tblPrEx>
        <w:trPr>
          <w:trHeight w:val="420"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秦方</w:t>
            </w:r>
          </w:p>
        </w:tc>
        <w:tc>
          <w:tcPr>
            <w:tcW w:w="675"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湖南怀化工业园区和安家园南区</w:t>
            </w: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101</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40.09</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658"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11189</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44.8567</w:t>
            </w:r>
          </w:p>
        </w:tc>
      </w:tr>
      <w:tr>
        <w:tblPrEx>
          <w:tblLayout w:type="fixed"/>
          <w:tblCellMar>
            <w:top w:w="0" w:type="dxa"/>
            <w:left w:w="108" w:type="dxa"/>
            <w:bottom w:w="0" w:type="dxa"/>
            <w:right w:w="108" w:type="dxa"/>
          </w:tblCellMar>
        </w:tblPrEx>
        <w:trPr>
          <w:trHeight w:val="330"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2</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714000060</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104</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商业</w:t>
            </w:r>
          </w:p>
        </w:tc>
        <w:tc>
          <w:tcPr>
            <w:tcW w:w="658"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rPr>
              <w:t>商业</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5502</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22.0575</w:t>
            </w:r>
          </w:p>
        </w:tc>
      </w:tr>
      <w:tr>
        <w:tblPrEx>
          <w:tblLayout w:type="fixed"/>
          <w:tblCellMar>
            <w:top w:w="0" w:type="dxa"/>
            <w:left w:w="108" w:type="dxa"/>
            <w:bottom w:w="0" w:type="dxa"/>
            <w:right w:w="108" w:type="dxa"/>
          </w:tblCellMar>
        </w:tblPrEx>
        <w:trPr>
          <w:trHeight w:val="360"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3</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709000248</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105</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1/6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40.09</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商业</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5502</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22.0575</w:t>
            </w:r>
          </w:p>
        </w:tc>
      </w:tr>
      <w:tr>
        <w:tblPrEx>
          <w:tblLayout w:type="fixed"/>
          <w:tblCellMar>
            <w:top w:w="0" w:type="dxa"/>
            <w:left w:w="108" w:type="dxa"/>
            <w:bottom w:w="0" w:type="dxa"/>
            <w:right w:w="108" w:type="dxa"/>
          </w:tblCellMar>
        </w:tblPrEx>
        <w:trPr>
          <w:trHeight w:val="375"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4</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714000061</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秦军</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01幢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住宅</w:t>
            </w: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26.2262</w:t>
            </w:r>
          </w:p>
        </w:tc>
      </w:tr>
      <w:tr>
        <w:tblPrEx>
          <w:tblLayout w:type="fixed"/>
          <w:tblCellMar>
            <w:top w:w="0" w:type="dxa"/>
            <w:left w:w="108" w:type="dxa"/>
            <w:bottom w:w="0" w:type="dxa"/>
            <w:right w:w="108" w:type="dxa"/>
          </w:tblCellMar>
        </w:tblPrEx>
        <w:trPr>
          <w:trHeight w:val="375"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5</w:t>
            </w:r>
          </w:p>
        </w:tc>
        <w:tc>
          <w:tcPr>
            <w:tcW w:w="855"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709000249</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color w:val="000000"/>
                <w:kern w:val="0"/>
                <w:sz w:val="20"/>
                <w:szCs w:val="20"/>
                <w:lang w:val="en-US" w:eastAsia="zh-CN"/>
              </w:rPr>
              <w:t>305</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96.42</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val="en-US" w:eastAsia="zh-CN"/>
              </w:rPr>
            </w:pPr>
            <w:r>
              <w:rPr>
                <w:rFonts w:hint="eastAsia" w:ascii="宋体"/>
                <w:color w:val="000000"/>
                <w:kern w:val="0"/>
                <w:sz w:val="20"/>
                <w:szCs w:val="20"/>
                <w:lang w:val="en-US" w:eastAsia="zh-CN"/>
              </w:rPr>
              <w:t>综合</w:t>
            </w: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val="en-US" w:eastAsia="zh-CN"/>
              </w:rPr>
            </w:pPr>
            <w:r>
              <w:rPr>
                <w:rFonts w:hint="eastAsia" w:ascii="宋体"/>
                <w:color w:val="000000"/>
                <w:kern w:val="0"/>
                <w:sz w:val="20"/>
                <w:szCs w:val="20"/>
                <w:lang w:val="en-US" w:eastAsia="zh-CN"/>
              </w:rPr>
              <w:t>住宅</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26.2262</w:t>
            </w:r>
          </w:p>
        </w:tc>
      </w:tr>
      <w:tr>
        <w:tblPrEx>
          <w:tblLayout w:type="fixed"/>
          <w:tblCellMar>
            <w:top w:w="0" w:type="dxa"/>
            <w:left w:w="108" w:type="dxa"/>
            <w:bottom w:w="0" w:type="dxa"/>
            <w:right w:w="108" w:type="dxa"/>
          </w:tblCellMar>
        </w:tblPrEx>
        <w:trPr>
          <w:trHeight w:val="390"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ascii="宋体" w:hAnsi="宋体" w:cs="宋体"/>
                <w:color w:val="000000"/>
                <w:kern w:val="0"/>
                <w:sz w:val="20"/>
                <w:szCs w:val="20"/>
              </w:rPr>
              <w:t>6</w:t>
            </w:r>
          </w:p>
        </w:tc>
        <w:tc>
          <w:tcPr>
            <w:tcW w:w="855"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color w:val="000000"/>
                <w:kern w:val="0"/>
                <w:sz w:val="20"/>
                <w:szCs w:val="20"/>
                <w:lang w:val="en-US" w:eastAsia="zh-CN"/>
              </w:rPr>
              <w:t>709000249</w:t>
            </w:r>
          </w:p>
        </w:tc>
        <w:tc>
          <w:tcPr>
            <w:tcW w:w="675" w:type="dxa"/>
            <w:tcBorders>
              <w:top w:val="nil"/>
              <w:left w:val="single" w:color="auto" w:sz="4" w:space="0"/>
              <w:bottom w:val="single" w:color="000000"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秦方</w:t>
            </w:r>
          </w:p>
        </w:tc>
        <w:tc>
          <w:tcPr>
            <w:tcW w:w="675"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02幢</w:t>
            </w:r>
          </w:p>
        </w:tc>
        <w:tc>
          <w:tcPr>
            <w:tcW w:w="540"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306</w:t>
            </w:r>
          </w:p>
        </w:tc>
        <w:tc>
          <w:tcPr>
            <w:tcW w:w="633" w:type="dxa"/>
            <w:tcBorders>
              <w:top w:val="nil"/>
              <w:left w:val="nil"/>
              <w:bottom w:val="single" w:color="auto" w:sz="4" w:space="0"/>
              <w:right w:val="single" w:color="auto" w:sz="4" w:space="0"/>
            </w:tcBorders>
            <w:noWrap w:val="0"/>
            <w:vAlign w:val="center"/>
          </w:tcPr>
          <w:p>
            <w:pPr>
              <w:widowControl/>
              <w:jc w:val="center"/>
              <w:rPr>
                <w:rFonts w:ascii="宋体"/>
                <w:color w:val="000000"/>
                <w:kern w:val="0"/>
                <w:sz w:val="20"/>
                <w:szCs w:val="20"/>
              </w:rPr>
            </w:pPr>
            <w:r>
              <w:rPr>
                <w:rFonts w:hint="eastAsia" w:ascii="宋体" w:hAnsi="宋体" w:cs="宋体"/>
                <w:color w:val="000000"/>
                <w:kern w:val="0"/>
                <w:sz w:val="20"/>
                <w:szCs w:val="20"/>
                <w:lang w:val="en-US" w:eastAsia="zh-CN"/>
              </w:rPr>
              <w:t>3</w:t>
            </w:r>
            <w:r>
              <w:rPr>
                <w:rFonts w:ascii="宋体" w:hAnsi="宋体" w:cs="宋体"/>
                <w:color w:val="000000"/>
                <w:kern w:val="0"/>
                <w:sz w:val="20"/>
                <w:szCs w:val="20"/>
              </w:rPr>
              <w:t>/6</w:t>
            </w: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eastAsia="宋体"/>
                <w:color w:val="000000"/>
                <w:kern w:val="0"/>
                <w:sz w:val="20"/>
                <w:szCs w:val="20"/>
                <w:lang w:val="en-US" w:eastAsia="zh-CN"/>
              </w:rPr>
            </w:pPr>
            <w:r>
              <w:rPr>
                <w:rFonts w:hint="eastAsia" w:ascii="宋体" w:hAnsi="宋体" w:cs="宋体"/>
                <w:color w:val="000000"/>
                <w:kern w:val="0"/>
                <w:sz w:val="20"/>
                <w:szCs w:val="20"/>
                <w:lang w:val="en-US" w:eastAsia="zh-CN"/>
              </w:rPr>
              <w:t>96.53</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hAnsi="宋体" w:cs="宋体"/>
                <w:color w:val="000000"/>
                <w:kern w:val="0"/>
                <w:sz w:val="20"/>
                <w:szCs w:val="20"/>
                <w:lang w:eastAsia="zh-CN"/>
              </w:rPr>
              <w:t>混合</w:t>
            </w: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color w:val="000000"/>
                <w:kern w:val="0"/>
                <w:sz w:val="20"/>
                <w:szCs w:val="20"/>
                <w:lang w:eastAsia="zh-CN"/>
              </w:rPr>
            </w:pPr>
            <w:r>
              <w:rPr>
                <w:rFonts w:hint="eastAsia" w:ascii="宋体"/>
                <w:color w:val="000000"/>
                <w:kern w:val="0"/>
                <w:sz w:val="20"/>
                <w:szCs w:val="20"/>
                <w:lang w:eastAsia="zh-CN"/>
              </w:rPr>
              <w:t>综合</w:t>
            </w: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eastAsia="宋体"/>
                <w:color w:val="000000"/>
                <w:kern w:val="0"/>
                <w:sz w:val="20"/>
                <w:szCs w:val="20"/>
                <w:lang w:eastAsia="zh-CN"/>
              </w:rPr>
            </w:pPr>
            <w:r>
              <w:rPr>
                <w:rFonts w:hint="eastAsia" w:ascii="宋体"/>
                <w:color w:val="000000"/>
                <w:kern w:val="0"/>
                <w:sz w:val="20"/>
                <w:szCs w:val="20"/>
                <w:lang w:eastAsia="zh-CN"/>
              </w:rPr>
              <w:t>住宅</w:t>
            </w:r>
          </w:p>
        </w:tc>
        <w:tc>
          <w:tcPr>
            <w:tcW w:w="747"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2720</w:t>
            </w: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color w:val="000000"/>
                <w:kern w:val="0"/>
                <w:sz w:val="20"/>
                <w:szCs w:val="20"/>
                <w:lang w:val="en-US" w:eastAsia="zh-CN"/>
              </w:rPr>
            </w:pPr>
            <w:r>
              <w:rPr>
                <w:rFonts w:hint="eastAsia" w:ascii="宋体"/>
                <w:color w:val="000000"/>
                <w:kern w:val="0"/>
                <w:sz w:val="20"/>
                <w:szCs w:val="20"/>
                <w:lang w:val="en-US" w:eastAsia="zh-CN"/>
              </w:rPr>
              <w:t>26.2562</w:t>
            </w:r>
          </w:p>
        </w:tc>
      </w:tr>
      <w:tr>
        <w:tblPrEx>
          <w:tblLayout w:type="fixed"/>
          <w:tblCellMar>
            <w:top w:w="0" w:type="dxa"/>
            <w:left w:w="108" w:type="dxa"/>
            <w:bottom w:w="0" w:type="dxa"/>
            <w:right w:w="108" w:type="dxa"/>
          </w:tblCellMar>
        </w:tblPrEx>
        <w:trPr>
          <w:trHeight w:val="375" w:hRule="atLeast"/>
          <w:jc w:val="center"/>
        </w:trPr>
        <w:tc>
          <w:tcPr>
            <w:tcW w:w="382"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855"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合计</w:t>
            </w:r>
          </w:p>
        </w:tc>
        <w:tc>
          <w:tcPr>
            <w:tcW w:w="675"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675" w:type="dxa"/>
            <w:tcBorders>
              <w:top w:val="nil"/>
              <w:left w:val="single" w:color="auto" w:sz="4" w:space="0"/>
              <w:bottom w:val="single" w:color="000000" w:sz="4" w:space="0"/>
              <w:right w:val="single" w:color="auto" w:sz="4" w:space="0"/>
            </w:tcBorders>
            <w:noWrap w:val="0"/>
            <w:vAlign w:val="center"/>
          </w:tcPr>
          <w:p>
            <w:pPr>
              <w:widowControl/>
              <w:jc w:val="left"/>
              <w:rPr>
                <w:rFonts w:ascii="宋体"/>
                <w:color w:val="000000"/>
                <w:kern w:val="0"/>
                <w:sz w:val="20"/>
                <w:szCs w:val="20"/>
              </w:rPr>
            </w:pPr>
          </w:p>
        </w:tc>
        <w:tc>
          <w:tcPr>
            <w:tcW w:w="55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54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633"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000000"/>
                <w:kern w:val="0"/>
                <w:sz w:val="20"/>
                <w:szCs w:val="20"/>
              </w:rPr>
            </w:pPr>
          </w:p>
        </w:tc>
        <w:tc>
          <w:tcPr>
            <w:tcW w:w="699"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409.64</w:t>
            </w:r>
          </w:p>
        </w:tc>
        <w:tc>
          <w:tcPr>
            <w:tcW w:w="663"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05"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658"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747" w:type="dxa"/>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0"/>
                <w:szCs w:val="20"/>
              </w:rPr>
            </w:pPr>
          </w:p>
        </w:tc>
        <w:tc>
          <w:tcPr>
            <w:tcW w:w="858" w:type="dxa"/>
            <w:tcBorders>
              <w:top w:val="nil"/>
              <w:left w:val="nil"/>
              <w:bottom w:val="single" w:color="auto" w:sz="4" w:space="0"/>
              <w:right w:val="single" w:color="auto" w:sz="4" w:space="0"/>
            </w:tcBorders>
            <w:noWrap w:val="0"/>
            <w:vAlign w:val="center"/>
          </w:tcPr>
          <w:p>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167.6803</w:t>
            </w:r>
          </w:p>
        </w:tc>
      </w:tr>
    </w:tbl>
    <w:p>
      <w:pPr>
        <w:widowControl/>
        <w:spacing w:line="360" w:lineRule="auto"/>
        <w:ind w:firstLine="522" w:firstLineChars="200"/>
        <w:jc w:val="center"/>
        <w:rPr>
          <w:rFonts w:hint="eastAsia" w:ascii="宋体" w:hAnsi="宋体" w:cs="宋体"/>
          <w:b/>
          <w:bCs/>
          <w:color w:val="000000"/>
          <w:spacing w:val="10"/>
          <w:sz w:val="24"/>
          <w:szCs w:val="24"/>
        </w:rPr>
      </w:pPr>
    </w:p>
    <w:p>
      <w:pPr>
        <w:widowControl/>
        <w:spacing w:line="360" w:lineRule="auto"/>
        <w:rPr>
          <w:rFonts w:hint="eastAsia" w:ascii="宋体"/>
          <w:spacing w:val="10"/>
        </w:rPr>
      </w:pPr>
    </w:p>
    <w:p>
      <w:pPr>
        <w:widowControl/>
        <w:spacing w:line="360" w:lineRule="auto"/>
        <w:jc w:val="center"/>
        <w:rPr>
          <w:rFonts w:ascii="宋体"/>
          <w:spacing w:val="10"/>
        </w:rPr>
      </w:pPr>
    </w:p>
    <w:p>
      <w:pPr>
        <w:widowControl/>
        <w:spacing w:line="360" w:lineRule="auto"/>
        <w:jc w:val="center"/>
        <w:rPr>
          <w:rFonts w:ascii="宋体"/>
          <w:spacing w:val="10"/>
        </w:rPr>
      </w:pPr>
    </w:p>
    <w:p>
      <w:pPr>
        <w:widowControl/>
        <w:spacing w:line="360" w:lineRule="auto"/>
        <w:jc w:val="center"/>
        <w:rPr>
          <w:rFonts w:ascii="宋体"/>
          <w:spacing w:val="10"/>
        </w:rPr>
      </w:pPr>
    </w:p>
    <w:p>
      <w:pPr>
        <w:widowControl/>
        <w:spacing w:line="360" w:lineRule="auto"/>
        <w:jc w:val="center"/>
        <w:rPr>
          <w:rFonts w:ascii="宋体"/>
          <w:spacing w:val="10"/>
        </w:rPr>
      </w:pPr>
    </w:p>
    <w:p>
      <w:bookmarkStart w:id="37" w:name="_Toc828"/>
    </w:p>
    <w:p>
      <w:pPr>
        <w:pStyle w:val="2"/>
        <w:spacing w:line="360" w:lineRule="auto"/>
        <w:rPr>
          <w:rFonts w:ascii="黑体" w:hAnsi="宋体" w:eastAsia="黑体" w:cs="Times New Roman"/>
          <w:b/>
          <w:bCs/>
          <w:sz w:val="32"/>
          <w:szCs w:val="32"/>
        </w:rPr>
      </w:pPr>
    </w:p>
    <w:p>
      <w:pPr>
        <w:pStyle w:val="2"/>
        <w:spacing w:line="360" w:lineRule="auto"/>
        <w:ind w:firstLine="4009" w:firstLineChars="1248"/>
        <w:jc w:val="both"/>
        <w:rPr>
          <w:rFonts w:ascii="黑体" w:hAnsi="宋体" w:eastAsia="黑体" w:cs="Times New Roman"/>
          <w:b/>
          <w:bCs/>
          <w:sz w:val="32"/>
          <w:szCs w:val="32"/>
        </w:rPr>
      </w:pPr>
      <w:r>
        <w:rPr>
          <w:rFonts w:hint="eastAsia" w:ascii="黑体" w:hAnsi="宋体" w:eastAsia="黑体" w:cs="黑体"/>
          <w:b/>
          <w:bCs/>
          <w:sz w:val="32"/>
          <w:szCs w:val="32"/>
        </w:rPr>
        <w:br w:type="page"/>
      </w:r>
      <w:r>
        <w:rPr>
          <w:rFonts w:hint="eastAsia" w:ascii="黑体" w:hAnsi="宋体" w:eastAsia="黑体" w:cs="黑体"/>
          <w:b/>
          <w:bCs/>
          <w:sz w:val="32"/>
          <w:szCs w:val="32"/>
        </w:rPr>
        <w:t>附件</w:t>
      </w:r>
      <w:bookmarkEnd w:id="37"/>
    </w:p>
    <w:p>
      <w:pPr>
        <w:spacing w:line="360" w:lineRule="auto"/>
      </w:pPr>
    </w:p>
    <w:p>
      <w:pPr>
        <w:widowControl/>
        <w:numPr>
          <w:ilvl w:val="0"/>
          <w:numId w:val="9"/>
        </w:numPr>
        <w:spacing w:line="480" w:lineRule="auto"/>
        <w:rPr>
          <w:rFonts w:ascii="宋体"/>
          <w:spacing w:val="10"/>
          <w:sz w:val="24"/>
          <w:szCs w:val="24"/>
        </w:rPr>
      </w:pPr>
      <w:r>
        <w:rPr>
          <w:rFonts w:hint="eastAsia" w:ascii="宋体" w:hAnsi="宋体" w:cs="宋体"/>
          <w:spacing w:val="10"/>
          <w:sz w:val="24"/>
          <w:szCs w:val="24"/>
        </w:rPr>
        <w:t>湖南省中方县人民法院对外司法委托书</w:t>
      </w:r>
      <w:r>
        <w:rPr>
          <w:rFonts w:ascii="宋体" w:hAnsi="宋体" w:cs="宋体"/>
          <w:spacing w:val="10"/>
          <w:sz w:val="24"/>
          <w:szCs w:val="24"/>
        </w:rPr>
        <w:t>[</w:t>
      </w:r>
      <w:r>
        <w:rPr>
          <w:rFonts w:hint="eastAsia" w:ascii="宋体" w:hAnsi="宋体" w:cs="宋体"/>
          <w:spacing w:val="10"/>
          <w:sz w:val="24"/>
          <w:szCs w:val="24"/>
        </w:rPr>
        <w:t>（</w:t>
      </w:r>
      <w:r>
        <w:rPr>
          <w:rFonts w:ascii="宋体" w:hAnsi="宋体" w:cs="宋体"/>
          <w:spacing w:val="10"/>
          <w:sz w:val="24"/>
          <w:szCs w:val="24"/>
        </w:rPr>
        <w:t>2018</w:t>
      </w:r>
      <w:r>
        <w:rPr>
          <w:rFonts w:hint="eastAsia" w:ascii="宋体" w:hAnsi="宋体" w:cs="宋体"/>
          <w:spacing w:val="10"/>
          <w:sz w:val="24"/>
          <w:szCs w:val="24"/>
        </w:rPr>
        <w:t>）湘</w:t>
      </w:r>
      <w:r>
        <w:rPr>
          <w:rFonts w:ascii="宋体" w:hAnsi="宋体" w:cs="宋体"/>
          <w:spacing w:val="10"/>
          <w:sz w:val="24"/>
          <w:szCs w:val="24"/>
        </w:rPr>
        <w:t>1221</w:t>
      </w:r>
      <w:r>
        <w:rPr>
          <w:rFonts w:hint="eastAsia" w:ascii="宋体" w:hAnsi="宋体" w:cs="宋体"/>
          <w:spacing w:val="10"/>
          <w:sz w:val="24"/>
          <w:szCs w:val="24"/>
          <w:lang w:eastAsia="zh-CN"/>
        </w:rPr>
        <w:t>评</w:t>
      </w:r>
      <w:r>
        <w:rPr>
          <w:rFonts w:hint="eastAsia" w:ascii="宋体" w:hAnsi="宋体" w:cs="宋体"/>
          <w:spacing w:val="10"/>
          <w:sz w:val="24"/>
          <w:szCs w:val="24"/>
          <w:lang w:val="en-US" w:eastAsia="zh-CN"/>
        </w:rPr>
        <w:t>45-47</w:t>
      </w:r>
      <w:r>
        <w:rPr>
          <w:rFonts w:hint="eastAsia" w:ascii="宋体" w:hAnsi="宋体" w:cs="宋体"/>
          <w:spacing w:val="10"/>
          <w:sz w:val="24"/>
          <w:szCs w:val="24"/>
        </w:rPr>
        <w:t>号</w:t>
      </w:r>
      <w:r>
        <w:rPr>
          <w:rFonts w:ascii="宋体" w:hAnsi="宋体" w:cs="宋体"/>
          <w:spacing w:val="10"/>
          <w:sz w:val="24"/>
          <w:szCs w:val="24"/>
        </w:rPr>
        <w:t>]</w:t>
      </w:r>
    </w:p>
    <w:p>
      <w:pPr>
        <w:widowControl/>
        <w:numPr>
          <w:ilvl w:val="0"/>
          <w:numId w:val="9"/>
        </w:numPr>
        <w:spacing w:line="480" w:lineRule="auto"/>
        <w:rPr>
          <w:rFonts w:ascii="宋体"/>
          <w:spacing w:val="10"/>
          <w:sz w:val="24"/>
          <w:szCs w:val="24"/>
        </w:rPr>
      </w:pPr>
      <w:r>
        <w:rPr>
          <w:rFonts w:hint="eastAsia" w:ascii="宋体" w:hAnsi="宋体" w:cs="宋体"/>
          <w:spacing w:val="10"/>
          <w:sz w:val="24"/>
          <w:szCs w:val="24"/>
        </w:rPr>
        <w:t>估价对象位置示意图</w:t>
      </w:r>
    </w:p>
    <w:p>
      <w:pPr>
        <w:widowControl/>
        <w:numPr>
          <w:ilvl w:val="0"/>
          <w:numId w:val="9"/>
        </w:numPr>
        <w:spacing w:line="480" w:lineRule="auto"/>
        <w:rPr>
          <w:rFonts w:ascii="宋体"/>
          <w:spacing w:val="10"/>
          <w:sz w:val="24"/>
          <w:szCs w:val="24"/>
        </w:rPr>
      </w:pPr>
      <w:r>
        <w:rPr>
          <w:rFonts w:hint="eastAsia" w:ascii="宋体" w:hAnsi="宋体" w:cs="宋体"/>
          <w:spacing w:val="10"/>
          <w:sz w:val="24"/>
          <w:szCs w:val="24"/>
        </w:rPr>
        <w:t>估价对象现场照片</w:t>
      </w:r>
    </w:p>
    <w:p>
      <w:pPr>
        <w:widowControl/>
        <w:numPr>
          <w:ilvl w:val="0"/>
          <w:numId w:val="9"/>
        </w:numPr>
        <w:spacing w:line="480" w:lineRule="auto"/>
        <w:rPr>
          <w:rFonts w:ascii="宋体"/>
          <w:spacing w:val="10"/>
          <w:sz w:val="24"/>
          <w:szCs w:val="24"/>
        </w:rPr>
      </w:pPr>
      <w:r>
        <w:rPr>
          <w:rFonts w:hint="eastAsia" w:ascii="宋体" w:hAnsi="宋体" w:cs="宋体"/>
          <w:spacing w:val="10"/>
          <w:sz w:val="24"/>
          <w:szCs w:val="24"/>
        </w:rPr>
        <w:t>估价对象权属证明复印件</w:t>
      </w:r>
    </w:p>
    <w:p>
      <w:pPr>
        <w:widowControl/>
        <w:numPr>
          <w:ilvl w:val="0"/>
          <w:numId w:val="9"/>
        </w:numPr>
        <w:spacing w:line="480" w:lineRule="auto"/>
        <w:rPr>
          <w:rFonts w:ascii="宋体"/>
          <w:spacing w:val="10"/>
          <w:sz w:val="24"/>
          <w:szCs w:val="24"/>
        </w:rPr>
      </w:pPr>
      <w:r>
        <w:rPr>
          <w:rFonts w:hint="eastAsia" w:ascii="宋体" w:hAnsi="宋体" w:cs="宋体"/>
          <w:spacing w:val="10"/>
          <w:sz w:val="24"/>
          <w:szCs w:val="24"/>
        </w:rPr>
        <w:t>房地产估价机构营业执照复印件</w:t>
      </w:r>
    </w:p>
    <w:p>
      <w:pPr>
        <w:widowControl/>
        <w:numPr>
          <w:ilvl w:val="0"/>
          <w:numId w:val="9"/>
        </w:numPr>
        <w:spacing w:line="480" w:lineRule="auto"/>
        <w:rPr>
          <w:rFonts w:ascii="宋体"/>
          <w:spacing w:val="10"/>
          <w:sz w:val="24"/>
          <w:szCs w:val="24"/>
        </w:rPr>
      </w:pPr>
      <w:r>
        <w:rPr>
          <w:rFonts w:hint="eastAsia" w:ascii="宋体" w:hAnsi="宋体" w:cs="宋体"/>
          <w:spacing w:val="10"/>
          <w:sz w:val="24"/>
          <w:szCs w:val="24"/>
        </w:rPr>
        <w:t>房地产价格评估机构资格证书复印件</w:t>
      </w:r>
    </w:p>
    <w:p>
      <w:pPr>
        <w:widowControl/>
        <w:numPr>
          <w:ilvl w:val="0"/>
          <w:numId w:val="9"/>
        </w:numPr>
        <w:spacing w:line="480" w:lineRule="auto"/>
        <w:rPr>
          <w:rFonts w:ascii="宋体"/>
          <w:spacing w:val="10"/>
          <w:sz w:val="24"/>
          <w:szCs w:val="24"/>
        </w:rPr>
      </w:pPr>
      <w:r>
        <w:rPr>
          <w:rFonts w:hint="eastAsia" w:ascii="宋体" w:hAnsi="宋体" w:cs="宋体"/>
          <w:spacing w:val="10"/>
          <w:sz w:val="24"/>
          <w:szCs w:val="24"/>
        </w:rPr>
        <w:t>注册房地产估价师注册证书复印件</w:t>
      </w:r>
    </w:p>
    <w:p>
      <w:pPr>
        <w:jc w:val="center"/>
        <w:rPr>
          <w:rFonts w:hint="eastAsia"/>
          <w:sz w:val="36"/>
          <w:szCs w:val="36"/>
        </w:rPr>
      </w:pPr>
      <w:r>
        <w:br w:type="page"/>
      </w:r>
      <w:r>
        <w:rPr>
          <w:rFonts w:hint="eastAsia" w:cs="宋体"/>
          <w:sz w:val="36"/>
          <w:szCs w:val="36"/>
        </w:rPr>
        <w:t>估价对象位置图</w:t>
      </w:r>
    </w:p>
    <w:p>
      <w:pPr>
        <w:keepNext w:val="0"/>
        <w:keepLines w:val="0"/>
        <w:widowControl/>
        <w:suppressLineNumbers w:val="0"/>
        <w:jc w:val="left"/>
      </w:pPr>
      <w:r>
        <mc:AlternateContent>
          <mc:Choice Requires="wps">
            <w:drawing>
              <wp:anchor distT="0" distB="0" distL="114300" distR="114300" simplePos="0" relativeHeight="251658240" behindDoc="0" locked="0" layoutInCell="1" allowOverlap="1">
                <wp:simplePos x="0" y="0"/>
                <wp:positionH relativeFrom="column">
                  <wp:posOffset>1371600</wp:posOffset>
                </wp:positionH>
                <wp:positionV relativeFrom="paragraph">
                  <wp:posOffset>3588385</wp:posOffset>
                </wp:positionV>
                <wp:extent cx="914400" cy="351155"/>
                <wp:effectExtent l="4445" t="4445" r="71755" b="444500"/>
                <wp:wrapNone/>
                <wp:docPr id="1" name="自选图形 6"/>
                <wp:cNvGraphicFramePr/>
                <a:graphic xmlns:a="http://schemas.openxmlformats.org/drawingml/2006/main">
                  <a:graphicData uri="http://schemas.microsoft.com/office/word/2010/wordprocessingShape">
                    <wps:wsp>
                      <wps:cNvSpPr/>
                      <wps:spPr>
                        <a:xfrm>
                          <a:off x="0" y="0"/>
                          <a:ext cx="914400" cy="351155"/>
                        </a:xfrm>
                        <a:prstGeom prst="wedgeRoundRectCallout">
                          <a:avLst>
                            <a:gd name="adj1" fmla="val 54236"/>
                            <a:gd name="adj2" fmla="val 168083"/>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24"/>
                                <w:szCs w:val="24"/>
                              </w:rPr>
                            </w:pPr>
                            <w:r>
                              <w:rPr>
                                <w:rFonts w:hint="eastAsia" w:ascii="宋体" w:hAnsi="宋体" w:cs="宋体"/>
                                <w:sz w:val="24"/>
                                <w:szCs w:val="24"/>
                              </w:rPr>
                              <w:t>项目位</w:t>
                            </w:r>
                            <w:r>
                              <w:rPr>
                                <w:rFonts w:hint="eastAsia" w:ascii="宋体" w:hAnsi="宋体" w:cs="宋体"/>
                              </w:rPr>
                              <w:t>置</w:t>
                            </w:r>
                          </w:p>
                        </w:txbxContent>
                      </wps:txbx>
                      <wps:bodyPr wrap="square" upright="1"/>
                    </wps:wsp>
                  </a:graphicData>
                </a:graphic>
              </wp:anchor>
            </w:drawing>
          </mc:Choice>
          <mc:Fallback>
            <w:pict>
              <v:shape id="自选图形 6" o:spid="_x0000_s1026" o:spt="62" type="#_x0000_t62" style="position:absolute;left:0pt;margin-left:108pt;margin-top:282.55pt;height:27.65pt;width:72pt;z-index:251658240;mso-width-relative:page;mso-height-relative:page;" fillcolor="#FFFFFF" filled="t" stroked="t" coordsize="21600,21600" o:gfxdata="UEsDBAoAAAAAAIdO4kAAAAAAAAAAAAAAAAAEAAAAZHJzL1BLAwQUAAAACACHTuJA1Eewg9sAAAAL&#10;AQAADwAAAGRycy9kb3ducmV2LnhtbE2PwU7DMBBE70j8g7VIXCq6TqBWG7KpoBJIcECiVD278ZJE&#10;xHYUu035e8wJjrMzmn1Trs+2FyceQ+cdQTaXINjV3nSuIdh9PN0sQYSondG9d0zwzQHW1eVFqQvj&#10;J/fOp21sRCpxodAEbYxDgRjqlq0Ocz+wS96nH62OSY4NmlFPqdz2mEup0OrOpQ+tHnjTcv21PVqC&#10;1Wy3f91oxNXz28s4zaYHxseG6Poqk/cgIp/jXxh+8RM6VInp4I/OBNET5JlKWyLBQi0yEClxq2S6&#10;HAhULu8AqxL/b6h+AFBLAwQUAAAACACHTuJAOa2epDUCAAB1BAAADgAAAGRycy9lMm9Eb2MueG1s&#10;rVRNjtMwFN4jcQfLeyZJ25RSNZ3FlLJBMJqBA7ixnRj5D9tt0h07xBnYseQOcJuR4BY8u6HTAguE&#10;yMKx4+fn7+e9LC57JdGOOS+MrnBxkWPEdG2o0E2FX79aP5ph5APRlEijWYX3zOPL5cMHi87O2ci0&#10;RlLmECTRft7ZCrch2HmW+bplivgLY5mGTW6cIgGWrsmoIx1kVzIb5fk064yj1pmaeQ9fV4dNvEz5&#10;OWd1eMm5ZwHJCgO2kEaXxk0cs+WCzBtHbCvqAQb5BxSKCA2XHlOtSCBo68RvqZSonfGGh4vaqMxw&#10;LmqWOACbIv+FzW1LLEtcQBxvjzL5/5e2frG7dkhQ8A4jTRRY9O395+/vPtx9/Hr35ROaRoU66+cQ&#10;eGuv3bDyMI10e+5UfAMR1CdV90dVWR9QDR+fFJNJDtrXsDUui6IsY87s/rB1PjxjRqE4qXDHaMNu&#10;zFbTG7DvikhptiGJS3bPfUgq0wEroW8AN1cSTNsRicrJaJwggxMnMaPTmGI6y2fjwfmToPF50HT6&#10;eMA5XAuIfyKNGLyRgq6FlGnhms2VdAgwVHidnuHwWZjUqANBylEJchAody5JgKmyYIDXTWJ5dsKf&#10;Js7T86fEEdiK+PYAIGU4EFQiMJeKvGWEPtUUhb0FkzV0I45gFKMYSQbNG2cpMhAh/yYSBJEanIzl&#10;cSiIOAv9ph+qZGPoHqqrg/YCem+3xMGdW+tE04LPRSISj0Btp4IY+jA2z+k6XXH/t1j+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RHsIPbAAAACwEAAA8AAAAAAAAAAQAgAAAAIgAAAGRycy9kb3du&#10;cmV2LnhtbFBLAQIUABQAAAAIAIdO4kA5rZ6kNQIAAHUEAAAOAAAAAAAAAAEAIAAAACoBAABkcnMv&#10;ZTJvRG9jLnhtbFBLBQYAAAAABgAGAFkBAADRBQAAAAA=&#10;" adj="22515,47106,14400">
                <v:fill on="t" focussize="0,0"/>
                <v:stroke color="#000000" joinstyle="miter"/>
                <v:imagedata o:title=""/>
                <o:lock v:ext="edit" aspectratio="f"/>
                <v:textbox>
                  <w:txbxContent>
                    <w:p>
                      <w:pPr>
                        <w:rPr>
                          <w:rFonts w:ascii="宋体"/>
                          <w:sz w:val="24"/>
                          <w:szCs w:val="24"/>
                        </w:rPr>
                      </w:pPr>
                      <w:r>
                        <w:rPr>
                          <w:rFonts w:hint="eastAsia" w:ascii="宋体" w:hAnsi="宋体" w:cs="宋体"/>
                          <w:sz w:val="24"/>
                          <w:szCs w:val="24"/>
                        </w:rPr>
                        <w:t>项目位</w:t>
                      </w:r>
                      <w:r>
                        <w:rPr>
                          <w:rFonts w:hint="eastAsia" w:ascii="宋体" w:hAnsi="宋体" w:cs="宋体"/>
                        </w:rPr>
                        <w:t>置</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5314950" cy="4610100"/>
            <wp:effectExtent l="0" t="0" r="0" b="0"/>
            <wp:docPr id="9"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IMG_256"/>
                    <pic:cNvPicPr>
                      <a:picLocks noChangeAspect="1"/>
                    </pic:cNvPicPr>
                  </pic:nvPicPr>
                  <pic:blipFill>
                    <a:blip r:embed="rId8"/>
                    <a:stretch>
                      <a:fillRect/>
                    </a:stretch>
                  </pic:blipFill>
                  <pic:spPr>
                    <a:xfrm>
                      <a:off x="0" y="0"/>
                      <a:ext cx="5314950" cy="4610100"/>
                    </a:xfrm>
                    <a:prstGeom prst="rect">
                      <a:avLst/>
                    </a:prstGeom>
                    <a:noFill/>
                    <a:ln>
                      <a:noFill/>
                    </a:ln>
                  </pic:spPr>
                </pic:pic>
              </a:graphicData>
            </a:graphic>
          </wp:inline>
        </w:drawing>
      </w:r>
    </w:p>
    <w:p>
      <w:pPr>
        <w:jc w:val="center"/>
        <w:rPr>
          <w:rFonts w:hint="eastAsia"/>
          <w:sz w:val="28"/>
          <w:szCs w:val="28"/>
        </w:rPr>
      </w:pPr>
    </w:p>
    <w:p>
      <w:pPr>
        <w:jc w:val="center"/>
        <w:rPr>
          <w:rFonts w:ascii="宋体"/>
          <w:sz w:val="24"/>
          <w:szCs w:val="24"/>
        </w:rPr>
      </w:pPr>
    </w:p>
    <w:p>
      <w:pPr>
        <w:jc w:val="center"/>
      </w:pPr>
      <w:r>
        <w:rPr>
          <w:rFonts w:hint="eastAsia" w:ascii="宋体" w:hAnsi="宋体" w:cs="宋体"/>
          <w:sz w:val="24"/>
          <w:szCs w:val="24"/>
        </w:rPr>
        <w:t>坐落：</w:t>
      </w:r>
      <w:r>
        <w:rPr>
          <w:rFonts w:hint="eastAsia" w:ascii="宋体" w:hAnsi="宋体" w:cs="宋体"/>
          <w:spacing w:val="10"/>
          <w:sz w:val="24"/>
          <w:szCs w:val="24"/>
        </w:rPr>
        <w:t>怀化市</w:t>
      </w:r>
      <w:r>
        <w:rPr>
          <w:rFonts w:hint="eastAsia" w:ascii="宋体" w:hAnsi="宋体" w:cs="宋体"/>
          <w:spacing w:val="10"/>
          <w:sz w:val="24"/>
          <w:szCs w:val="24"/>
          <w:lang w:eastAsia="zh-CN"/>
        </w:rPr>
        <w:t>湖南怀化工业园区和安家园南区</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
      <w:pPr>
        <w:jc w:val="center"/>
        <w:rPr>
          <w:sz w:val="36"/>
          <w:szCs w:val="36"/>
        </w:rPr>
      </w:pPr>
      <w:r>
        <w:rPr>
          <w:rFonts w:hint="eastAsia" w:cs="宋体"/>
          <w:sz w:val="36"/>
          <w:szCs w:val="36"/>
        </w:rPr>
        <w:t>估价对象实地查勘情况相关照片（一）</w:t>
      </w:r>
    </w:p>
    <w:p>
      <w:pPr>
        <w:jc w:val="left"/>
        <w:rPr>
          <w:sz w:val="24"/>
          <w:szCs w:val="24"/>
        </w:rPr>
      </w:pPr>
    </w:p>
    <w:p>
      <w:r>
        <w:rPr>
          <w:rFonts w:hint="eastAsia" w:cs="宋体"/>
          <w:sz w:val="24"/>
          <w:szCs w:val="24"/>
        </w:rPr>
        <w:t>坐落：</w:t>
      </w:r>
      <w:r>
        <w:rPr>
          <w:rFonts w:hint="eastAsia" w:ascii="宋体" w:hAnsi="宋体" w:cs="宋体"/>
          <w:spacing w:val="10"/>
          <w:sz w:val="24"/>
          <w:szCs w:val="24"/>
        </w:rPr>
        <w:t>怀化市</w:t>
      </w:r>
      <w:r>
        <w:rPr>
          <w:rFonts w:hint="eastAsia" w:ascii="宋体" w:hAnsi="宋体" w:cs="宋体"/>
          <w:spacing w:val="10"/>
          <w:sz w:val="24"/>
          <w:szCs w:val="24"/>
          <w:lang w:eastAsia="zh-CN"/>
        </w:rPr>
        <w:t>湖南怀化工业园区和安家园南区</w:t>
      </w:r>
    </w:p>
    <w:p>
      <w:pPr>
        <w:jc w:val="left"/>
        <w:rPr>
          <w:rFonts w:hint="eastAsia" w:eastAsia="宋体"/>
          <w:sz w:val="24"/>
          <w:szCs w:val="24"/>
          <w:lang w:eastAsia="zh-CN"/>
        </w:rPr>
      </w:pPr>
      <w:r>
        <w:rPr>
          <w:rFonts w:hint="eastAsia" w:cs="宋体"/>
          <w:sz w:val="24"/>
          <w:szCs w:val="24"/>
        </w:rPr>
        <w:t>进行实地查勘的估价师及估价人员：张剑、</w:t>
      </w:r>
      <w:r>
        <w:rPr>
          <w:rFonts w:hint="eastAsia" w:cs="宋体"/>
          <w:sz w:val="24"/>
          <w:szCs w:val="24"/>
          <w:lang w:eastAsia="zh-CN"/>
        </w:rPr>
        <w:t>郁琳</w:t>
      </w:r>
    </w:p>
    <w:p>
      <w:pPr>
        <w:jc w:val="left"/>
        <w:rPr>
          <w:sz w:val="24"/>
          <w:szCs w:val="24"/>
        </w:rPr>
      </w:pPr>
      <w:r>
        <w:rPr>
          <w:rFonts w:hint="eastAsia" w:cs="宋体"/>
          <w:sz w:val="24"/>
          <w:szCs w:val="24"/>
        </w:rPr>
        <w:t>拍摄日期：</w:t>
      </w:r>
      <w:r>
        <w:rPr>
          <w:sz w:val="24"/>
          <w:szCs w:val="24"/>
        </w:rPr>
        <w:t>201</w:t>
      </w:r>
      <w:r>
        <w:rPr>
          <w:rFonts w:hint="eastAsia"/>
          <w:sz w:val="24"/>
          <w:szCs w:val="24"/>
          <w:lang w:val="en-US" w:eastAsia="zh-CN"/>
        </w:rPr>
        <w:t>9</w:t>
      </w:r>
      <w:r>
        <w:rPr>
          <w:rFonts w:hint="eastAsia" w:cs="宋体"/>
          <w:sz w:val="24"/>
          <w:szCs w:val="24"/>
        </w:rPr>
        <w:t>年</w:t>
      </w:r>
      <w:r>
        <w:rPr>
          <w:rFonts w:hint="eastAsia"/>
          <w:sz w:val="24"/>
          <w:szCs w:val="24"/>
          <w:lang w:val="en-US" w:eastAsia="zh-CN"/>
        </w:rPr>
        <w:t>02</w:t>
      </w:r>
      <w:r>
        <w:rPr>
          <w:rFonts w:hint="eastAsia" w:cs="宋体"/>
          <w:sz w:val="24"/>
          <w:szCs w:val="24"/>
        </w:rPr>
        <w:t>月</w:t>
      </w:r>
      <w:r>
        <w:rPr>
          <w:rFonts w:hint="eastAsia"/>
          <w:sz w:val="24"/>
          <w:szCs w:val="24"/>
        </w:rPr>
        <w:t>25</w:t>
      </w:r>
      <w:r>
        <w:rPr>
          <w:rFonts w:hint="eastAsia" w:cs="宋体"/>
          <w:sz w:val="24"/>
          <w:szCs w:val="24"/>
        </w:rPr>
        <w:t>日</w:t>
      </w:r>
    </w:p>
    <w:p>
      <w:pPr>
        <w:jc w:val="left"/>
        <w:rPr>
          <w:sz w:val="24"/>
          <w:szCs w:val="24"/>
        </w:rPr>
      </w:pPr>
    </w:p>
    <w:p>
      <w:pPr>
        <w:jc w:val="left"/>
        <w:rPr>
          <w:rFonts w:hint="eastAsia"/>
          <w:sz w:val="24"/>
          <w:szCs w:val="24"/>
        </w:rPr>
      </w:pPr>
    </w:p>
    <w:tbl>
      <w:tblPr>
        <w:tblStyle w:val="40"/>
        <w:tblpPr w:leftFromText="180" w:rightFromText="180" w:vertAnchor="text" w:tblpY="1"/>
        <w:tblOverlap w:val="never"/>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0"/>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10" w:type="dxa"/>
            <w:noWrap w:val="0"/>
            <w:vAlign w:val="top"/>
          </w:tcPr>
          <w:p>
            <w:pPr>
              <w:jc w:val="center"/>
              <w:rPr>
                <w:rFonts w:hint="eastAsia" w:eastAsia="宋体"/>
                <w:sz w:val="18"/>
                <w:lang w:eastAsia="zh-CN"/>
              </w:rPr>
            </w:pPr>
            <w:r>
              <w:rPr>
                <w:rFonts w:hint="eastAsia" w:eastAsia="宋体"/>
                <w:sz w:val="18"/>
                <w:lang w:eastAsia="zh-CN"/>
              </w:rPr>
              <w:drawing>
                <wp:inline distT="0" distB="0" distL="114300" distR="114300">
                  <wp:extent cx="2533015" cy="2654300"/>
                  <wp:effectExtent l="0" t="0" r="635" b="12700"/>
                  <wp:docPr id="10" name="图片 28" descr="IMG_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IMG_3551"/>
                          <pic:cNvPicPr>
                            <a:picLocks noChangeAspect="1"/>
                          </pic:cNvPicPr>
                        </pic:nvPicPr>
                        <pic:blipFill>
                          <a:blip r:embed="rId12"/>
                          <a:stretch>
                            <a:fillRect/>
                          </a:stretch>
                        </pic:blipFill>
                        <pic:spPr>
                          <a:xfrm>
                            <a:off x="0" y="0"/>
                            <a:ext cx="2533015" cy="2654300"/>
                          </a:xfrm>
                          <a:prstGeom prst="rect">
                            <a:avLst/>
                          </a:prstGeom>
                          <a:noFill/>
                          <a:ln>
                            <a:noFill/>
                          </a:ln>
                        </pic:spPr>
                      </pic:pic>
                    </a:graphicData>
                  </a:graphic>
                </wp:inline>
              </w:drawing>
            </w:r>
          </w:p>
          <w:p>
            <w:pPr>
              <w:jc w:val="both"/>
              <w:rPr>
                <w:rFonts w:hint="default" w:eastAsia="宋体"/>
                <w:sz w:val="18"/>
                <w:lang w:val="en-US" w:eastAsia="zh-CN"/>
              </w:rPr>
            </w:pPr>
            <w:r>
              <w:rPr>
                <w:rFonts w:hint="eastAsia"/>
                <w:sz w:val="18"/>
                <w:lang w:val="en-US" w:eastAsia="zh-CN"/>
              </w:rPr>
              <w:t>01幢101号和安批发部店外照</w:t>
            </w:r>
          </w:p>
        </w:tc>
        <w:tc>
          <w:tcPr>
            <w:tcW w:w="4210" w:type="dxa"/>
            <w:noWrap w:val="0"/>
            <w:vAlign w:val="top"/>
          </w:tcPr>
          <w:p>
            <w:pPr>
              <w:ind w:right="360"/>
              <w:rPr>
                <w:rFonts w:hint="eastAsia" w:eastAsia="宋体"/>
                <w:sz w:val="18"/>
                <w:lang w:eastAsia="zh-CN"/>
              </w:rPr>
            </w:pPr>
            <w:r>
              <w:rPr>
                <w:rFonts w:hint="eastAsia" w:eastAsia="宋体"/>
                <w:sz w:val="18"/>
                <w:lang w:eastAsia="zh-CN"/>
              </w:rPr>
              <w:drawing>
                <wp:inline distT="0" distB="0" distL="114300" distR="114300">
                  <wp:extent cx="2533015" cy="2661285"/>
                  <wp:effectExtent l="0" t="0" r="635" b="5715"/>
                  <wp:docPr id="11" name="图片 30" descr="IMG_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descr="IMG_3552"/>
                          <pic:cNvPicPr>
                            <a:picLocks noChangeAspect="1"/>
                          </pic:cNvPicPr>
                        </pic:nvPicPr>
                        <pic:blipFill>
                          <a:blip r:embed="rId13"/>
                          <a:stretch>
                            <a:fillRect/>
                          </a:stretch>
                        </pic:blipFill>
                        <pic:spPr>
                          <a:xfrm>
                            <a:off x="0" y="0"/>
                            <a:ext cx="2533015" cy="2661285"/>
                          </a:xfrm>
                          <a:prstGeom prst="rect">
                            <a:avLst/>
                          </a:prstGeom>
                          <a:noFill/>
                          <a:ln>
                            <a:noFill/>
                          </a:ln>
                        </pic:spPr>
                      </pic:pic>
                    </a:graphicData>
                  </a:graphic>
                </wp:inline>
              </w:drawing>
            </w:r>
          </w:p>
          <w:p>
            <w:pPr>
              <w:rPr>
                <w:rFonts w:hint="eastAsia"/>
                <w:sz w:val="18"/>
              </w:rPr>
            </w:pPr>
            <w:r>
              <w:rPr>
                <w:rFonts w:hint="eastAsia"/>
                <w:sz w:val="18"/>
                <w:lang w:val="en-US" w:eastAsia="zh-CN"/>
              </w:rPr>
              <w:t>01幢101号和安批发部店</w:t>
            </w:r>
            <w:r>
              <w:rPr>
                <w:rFonts w:hint="eastAsia"/>
                <w:sz w:val="18"/>
              </w:rPr>
              <w:t>内照</w:t>
            </w:r>
          </w:p>
        </w:tc>
      </w:tr>
    </w:tbl>
    <w:p>
      <w:pPr>
        <w:jc w:val="left"/>
        <w:rPr>
          <w:sz w:val="24"/>
          <w:szCs w:val="24"/>
        </w:rPr>
      </w:pPr>
    </w:p>
    <w:p>
      <w:pPr>
        <w:jc w:val="left"/>
        <w:rPr>
          <w:sz w:val="24"/>
          <w:szCs w:val="24"/>
        </w:rPr>
      </w:pPr>
    </w:p>
    <w:tbl>
      <w:tblPr>
        <w:tblStyle w:val="40"/>
        <w:tblpPr w:leftFromText="180" w:rightFromText="180" w:vertAnchor="text" w:tblpY="1"/>
        <w:tblOverlap w:val="never"/>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0"/>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10" w:type="dxa"/>
            <w:noWrap w:val="0"/>
            <w:vAlign w:val="top"/>
          </w:tcPr>
          <w:p>
            <w:pPr>
              <w:rPr>
                <w:rFonts w:hint="eastAsia" w:eastAsia="宋体"/>
                <w:sz w:val="18"/>
                <w:lang w:eastAsia="zh-CN"/>
              </w:rPr>
            </w:pPr>
            <w:r>
              <w:rPr>
                <w:rFonts w:hint="eastAsia" w:eastAsia="宋体"/>
                <w:sz w:val="18"/>
                <w:lang w:eastAsia="zh-CN"/>
              </w:rPr>
              <w:drawing>
                <wp:inline distT="0" distB="0" distL="114300" distR="114300">
                  <wp:extent cx="2533015" cy="2709545"/>
                  <wp:effectExtent l="0" t="0" r="635" b="14605"/>
                  <wp:docPr id="12" name="图片 31" descr="IMG_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IMG_3570"/>
                          <pic:cNvPicPr>
                            <a:picLocks noChangeAspect="1"/>
                          </pic:cNvPicPr>
                        </pic:nvPicPr>
                        <pic:blipFill>
                          <a:blip r:embed="rId14"/>
                          <a:stretch>
                            <a:fillRect/>
                          </a:stretch>
                        </pic:blipFill>
                        <pic:spPr>
                          <a:xfrm>
                            <a:off x="0" y="0"/>
                            <a:ext cx="2533015" cy="2709545"/>
                          </a:xfrm>
                          <a:prstGeom prst="rect">
                            <a:avLst/>
                          </a:prstGeom>
                          <a:noFill/>
                          <a:ln>
                            <a:noFill/>
                          </a:ln>
                        </pic:spPr>
                      </pic:pic>
                    </a:graphicData>
                  </a:graphic>
                </wp:inline>
              </w:drawing>
            </w:r>
          </w:p>
          <w:p>
            <w:pPr>
              <w:rPr>
                <w:rFonts w:hint="eastAsia"/>
                <w:sz w:val="18"/>
              </w:rPr>
            </w:pPr>
            <w:r>
              <w:rPr>
                <w:rFonts w:hint="eastAsia"/>
                <w:sz w:val="18"/>
                <w:lang w:val="en-US" w:eastAsia="zh-CN"/>
              </w:rPr>
              <w:t>02幢104号容声厨卫店</w:t>
            </w:r>
            <w:r>
              <w:rPr>
                <w:rFonts w:hint="eastAsia"/>
                <w:sz w:val="18"/>
              </w:rPr>
              <w:t>外照</w:t>
            </w:r>
          </w:p>
        </w:tc>
        <w:tc>
          <w:tcPr>
            <w:tcW w:w="4210" w:type="dxa"/>
            <w:noWrap w:val="0"/>
            <w:vAlign w:val="top"/>
          </w:tcPr>
          <w:p>
            <w:pPr>
              <w:ind w:right="360"/>
              <w:rPr>
                <w:rFonts w:hint="eastAsia" w:eastAsia="宋体"/>
                <w:sz w:val="18"/>
                <w:lang w:eastAsia="zh-CN"/>
              </w:rPr>
            </w:pPr>
            <w:r>
              <w:rPr>
                <w:rFonts w:hint="eastAsia" w:eastAsia="宋体"/>
                <w:sz w:val="18"/>
                <w:lang w:eastAsia="zh-CN"/>
              </w:rPr>
              <w:drawing>
                <wp:inline distT="0" distB="0" distL="114300" distR="114300">
                  <wp:extent cx="2533015" cy="2709545"/>
                  <wp:effectExtent l="0" t="0" r="635" b="14605"/>
                  <wp:docPr id="13" name="图片 32" descr="IMG_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G_3571"/>
                          <pic:cNvPicPr>
                            <a:picLocks noChangeAspect="1"/>
                          </pic:cNvPicPr>
                        </pic:nvPicPr>
                        <pic:blipFill>
                          <a:blip r:embed="rId15"/>
                          <a:stretch>
                            <a:fillRect/>
                          </a:stretch>
                        </pic:blipFill>
                        <pic:spPr>
                          <a:xfrm>
                            <a:off x="0" y="0"/>
                            <a:ext cx="2533015" cy="2709545"/>
                          </a:xfrm>
                          <a:prstGeom prst="rect">
                            <a:avLst/>
                          </a:prstGeom>
                          <a:noFill/>
                          <a:ln>
                            <a:noFill/>
                          </a:ln>
                        </pic:spPr>
                      </pic:pic>
                    </a:graphicData>
                  </a:graphic>
                </wp:inline>
              </w:drawing>
            </w:r>
          </w:p>
          <w:p>
            <w:pPr>
              <w:rPr>
                <w:rFonts w:hint="eastAsia"/>
                <w:sz w:val="18"/>
              </w:rPr>
            </w:pPr>
            <w:r>
              <w:rPr>
                <w:rFonts w:hint="eastAsia"/>
                <w:sz w:val="18"/>
                <w:lang w:val="en-US" w:eastAsia="zh-CN"/>
              </w:rPr>
              <w:t>02幢104号容声厨卫店</w:t>
            </w:r>
            <w:r>
              <w:rPr>
                <w:rFonts w:hint="eastAsia"/>
                <w:sz w:val="18"/>
              </w:rPr>
              <w:t>内照</w:t>
            </w:r>
          </w:p>
        </w:tc>
      </w:tr>
    </w:tbl>
    <w:p>
      <w:pPr>
        <w:jc w:val="left"/>
        <w:rPr>
          <w:sz w:val="24"/>
          <w:szCs w:val="24"/>
        </w:rPr>
      </w:pPr>
      <w:r>
        <w:rPr>
          <w:sz w:val="24"/>
          <w:szCs w:val="24"/>
        </w:rPr>
        <w:t xml:space="preserve">                    </w:t>
      </w:r>
    </w:p>
    <w:p>
      <w:pPr>
        <w:jc w:val="left"/>
        <w:rPr>
          <w:sz w:val="24"/>
          <w:szCs w:val="24"/>
        </w:rPr>
      </w:pPr>
    </w:p>
    <w:p>
      <w:pPr>
        <w:jc w:val="left"/>
        <w:rPr>
          <w:sz w:val="24"/>
          <w:szCs w:val="24"/>
        </w:rPr>
      </w:pPr>
    </w:p>
    <w:p>
      <w:pPr>
        <w:jc w:val="left"/>
        <w:rPr>
          <w:sz w:val="24"/>
          <w:szCs w:val="24"/>
        </w:rPr>
      </w:pPr>
    </w:p>
    <w:p>
      <w:pPr>
        <w:jc w:val="left"/>
        <w:rPr>
          <w:rFonts w:hint="eastAsia"/>
        </w:rPr>
      </w:pPr>
    </w:p>
    <w:p>
      <w:pPr>
        <w:jc w:val="center"/>
        <w:rPr>
          <w:sz w:val="36"/>
          <w:szCs w:val="36"/>
        </w:rPr>
      </w:pPr>
      <w:r>
        <w:rPr>
          <w:rFonts w:hint="eastAsia" w:cs="宋体"/>
          <w:sz w:val="36"/>
          <w:szCs w:val="36"/>
        </w:rPr>
        <w:t>估价对象实地查勘情况相关照片（二）</w:t>
      </w:r>
    </w:p>
    <w:p>
      <w:pPr>
        <w:jc w:val="center"/>
        <w:rPr>
          <w:sz w:val="36"/>
          <w:szCs w:val="36"/>
        </w:rPr>
      </w:pPr>
    </w:p>
    <w:p>
      <w:pPr>
        <w:jc w:val="left"/>
        <w:rPr>
          <w:rFonts w:ascii="宋体"/>
          <w:spacing w:val="10"/>
          <w:sz w:val="24"/>
          <w:szCs w:val="24"/>
        </w:rPr>
      </w:pPr>
      <w:r>
        <w:rPr>
          <w:rFonts w:hint="eastAsia" w:cs="宋体"/>
          <w:sz w:val="24"/>
          <w:szCs w:val="24"/>
        </w:rPr>
        <w:t>坐落：</w:t>
      </w:r>
      <w:r>
        <w:rPr>
          <w:rFonts w:hint="eastAsia" w:ascii="宋体" w:hAnsi="宋体" w:cs="宋体"/>
          <w:spacing w:val="10"/>
          <w:sz w:val="24"/>
          <w:szCs w:val="24"/>
        </w:rPr>
        <w:t>怀化市</w:t>
      </w:r>
      <w:r>
        <w:rPr>
          <w:rFonts w:hint="eastAsia" w:ascii="宋体" w:hAnsi="宋体" w:cs="宋体"/>
          <w:spacing w:val="10"/>
          <w:sz w:val="24"/>
          <w:szCs w:val="24"/>
          <w:lang w:eastAsia="zh-CN"/>
        </w:rPr>
        <w:t>湖南怀化工业园区和安家园南区</w:t>
      </w:r>
    </w:p>
    <w:p>
      <w:pPr>
        <w:jc w:val="left"/>
        <w:rPr>
          <w:rFonts w:hint="eastAsia" w:eastAsia="宋体"/>
          <w:sz w:val="24"/>
          <w:szCs w:val="24"/>
          <w:lang w:eastAsia="zh-CN"/>
        </w:rPr>
      </w:pPr>
      <w:r>
        <w:rPr>
          <w:rFonts w:hint="eastAsia" w:cs="宋体"/>
          <w:sz w:val="24"/>
          <w:szCs w:val="24"/>
        </w:rPr>
        <w:t>进行实地查勘的估价师及估价人员：张剑、</w:t>
      </w:r>
      <w:r>
        <w:rPr>
          <w:rFonts w:hint="eastAsia" w:cs="宋体"/>
          <w:sz w:val="24"/>
          <w:szCs w:val="24"/>
          <w:lang w:eastAsia="zh-CN"/>
        </w:rPr>
        <w:t>郁琳</w:t>
      </w:r>
    </w:p>
    <w:p>
      <w:pPr>
        <w:jc w:val="left"/>
        <w:rPr>
          <w:sz w:val="24"/>
          <w:szCs w:val="24"/>
        </w:rPr>
      </w:pPr>
      <w:r>
        <w:rPr>
          <w:rFonts w:hint="eastAsia" w:cs="宋体"/>
          <w:sz w:val="24"/>
          <w:szCs w:val="24"/>
        </w:rPr>
        <w:t>拍摄日期：</w:t>
      </w:r>
      <w:r>
        <w:rPr>
          <w:sz w:val="24"/>
          <w:szCs w:val="24"/>
        </w:rPr>
        <w:t>201</w:t>
      </w:r>
      <w:r>
        <w:rPr>
          <w:rFonts w:hint="eastAsia"/>
          <w:sz w:val="24"/>
          <w:szCs w:val="24"/>
          <w:lang w:val="en-US" w:eastAsia="zh-CN"/>
        </w:rPr>
        <w:t>9</w:t>
      </w:r>
      <w:r>
        <w:rPr>
          <w:rFonts w:hint="eastAsia" w:cs="宋体"/>
          <w:sz w:val="24"/>
          <w:szCs w:val="24"/>
        </w:rPr>
        <w:t>年</w:t>
      </w:r>
      <w:r>
        <w:rPr>
          <w:rFonts w:hint="eastAsia" w:cs="宋体"/>
          <w:sz w:val="24"/>
          <w:szCs w:val="24"/>
          <w:lang w:val="en-US" w:eastAsia="zh-CN"/>
        </w:rPr>
        <w:t>02</w:t>
      </w:r>
      <w:r>
        <w:rPr>
          <w:rFonts w:hint="eastAsia" w:cs="宋体"/>
          <w:sz w:val="24"/>
          <w:szCs w:val="24"/>
        </w:rPr>
        <w:t>月</w:t>
      </w:r>
      <w:r>
        <w:rPr>
          <w:rFonts w:hint="eastAsia"/>
          <w:sz w:val="24"/>
          <w:szCs w:val="24"/>
        </w:rPr>
        <w:t>25</w:t>
      </w:r>
      <w:r>
        <w:rPr>
          <w:rFonts w:hint="eastAsia" w:cs="宋体"/>
          <w:sz w:val="24"/>
          <w:szCs w:val="24"/>
        </w:rPr>
        <w:t>日</w:t>
      </w:r>
    </w:p>
    <w:p>
      <w:pPr>
        <w:jc w:val="left"/>
        <w:rPr>
          <w:rFonts w:ascii="宋体"/>
          <w:sz w:val="24"/>
          <w:szCs w:val="24"/>
        </w:rPr>
      </w:pPr>
    </w:p>
    <w:tbl>
      <w:tblPr>
        <w:tblStyle w:val="40"/>
        <w:tblpPr w:leftFromText="180" w:rightFromText="180" w:vertAnchor="text" w:tblpY="1"/>
        <w:tblOverlap w:val="never"/>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9"/>
        <w:gridCol w:w="4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2" w:hRule="atLeast"/>
        </w:trPr>
        <w:tc>
          <w:tcPr>
            <w:tcW w:w="4079" w:type="dxa"/>
            <w:noWrap w:val="0"/>
            <w:vAlign w:val="top"/>
          </w:tcPr>
          <w:p>
            <w:pPr>
              <w:rPr>
                <w:rFonts w:hint="eastAsia" w:eastAsia="宋体"/>
                <w:sz w:val="18"/>
                <w:lang w:eastAsia="zh-CN"/>
              </w:rPr>
            </w:pPr>
            <w:r>
              <w:rPr>
                <w:rFonts w:hint="eastAsia" w:eastAsia="宋体"/>
                <w:sz w:val="18"/>
                <w:lang w:eastAsia="zh-CN"/>
              </w:rPr>
              <w:drawing>
                <wp:inline distT="0" distB="0" distL="114300" distR="114300">
                  <wp:extent cx="2449830" cy="2723515"/>
                  <wp:effectExtent l="0" t="0" r="7620" b="635"/>
                  <wp:docPr id="14" name="图片 33" descr="IMG_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IMG_3576"/>
                          <pic:cNvPicPr>
                            <a:picLocks noChangeAspect="1"/>
                          </pic:cNvPicPr>
                        </pic:nvPicPr>
                        <pic:blipFill>
                          <a:blip r:embed="rId16"/>
                          <a:stretch>
                            <a:fillRect/>
                          </a:stretch>
                        </pic:blipFill>
                        <pic:spPr>
                          <a:xfrm>
                            <a:off x="0" y="0"/>
                            <a:ext cx="2449830" cy="2723515"/>
                          </a:xfrm>
                          <a:prstGeom prst="rect">
                            <a:avLst/>
                          </a:prstGeom>
                          <a:noFill/>
                          <a:ln>
                            <a:noFill/>
                          </a:ln>
                        </pic:spPr>
                      </pic:pic>
                    </a:graphicData>
                  </a:graphic>
                </wp:inline>
              </w:drawing>
            </w:r>
          </w:p>
          <w:p>
            <w:pPr>
              <w:rPr>
                <w:rFonts w:hint="eastAsia"/>
                <w:sz w:val="18"/>
              </w:rPr>
            </w:pPr>
            <w:r>
              <w:rPr>
                <w:rFonts w:hint="eastAsia"/>
                <w:sz w:val="18"/>
                <w:lang w:val="en-US" w:eastAsia="zh-CN"/>
              </w:rPr>
              <w:t>02幢105</w:t>
            </w:r>
            <w:r>
              <w:rPr>
                <w:rFonts w:hint="eastAsia"/>
                <w:sz w:val="18"/>
              </w:rPr>
              <w:t>号</w:t>
            </w:r>
            <w:r>
              <w:rPr>
                <w:rFonts w:hint="eastAsia"/>
                <w:sz w:val="18"/>
                <w:lang w:eastAsia="zh-CN"/>
              </w:rPr>
              <w:t>佳源通讯店</w:t>
            </w:r>
            <w:r>
              <w:rPr>
                <w:rFonts w:hint="eastAsia"/>
                <w:sz w:val="18"/>
              </w:rPr>
              <w:t>外照</w:t>
            </w:r>
          </w:p>
        </w:tc>
        <w:tc>
          <w:tcPr>
            <w:tcW w:w="4341" w:type="dxa"/>
            <w:noWrap w:val="0"/>
            <w:vAlign w:val="top"/>
          </w:tcPr>
          <w:p>
            <w:pPr>
              <w:ind w:right="360"/>
              <w:rPr>
                <w:rFonts w:hint="eastAsia" w:eastAsia="宋体"/>
                <w:sz w:val="18"/>
                <w:lang w:eastAsia="zh-CN"/>
              </w:rPr>
            </w:pPr>
            <w:r>
              <w:rPr>
                <w:rFonts w:hint="eastAsia" w:eastAsia="宋体"/>
                <w:sz w:val="18"/>
                <w:lang w:eastAsia="zh-CN"/>
              </w:rPr>
              <w:drawing>
                <wp:inline distT="0" distB="0" distL="114300" distR="114300">
                  <wp:extent cx="2614930" cy="2722880"/>
                  <wp:effectExtent l="0" t="0" r="13970" b="1270"/>
                  <wp:docPr id="15" name="图片 34" descr="IMG_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IMG_3577"/>
                          <pic:cNvPicPr>
                            <a:picLocks noChangeAspect="1"/>
                          </pic:cNvPicPr>
                        </pic:nvPicPr>
                        <pic:blipFill>
                          <a:blip r:embed="rId17"/>
                          <a:stretch>
                            <a:fillRect/>
                          </a:stretch>
                        </pic:blipFill>
                        <pic:spPr>
                          <a:xfrm>
                            <a:off x="0" y="0"/>
                            <a:ext cx="2614930" cy="2722880"/>
                          </a:xfrm>
                          <a:prstGeom prst="rect">
                            <a:avLst/>
                          </a:prstGeom>
                          <a:noFill/>
                          <a:ln>
                            <a:noFill/>
                          </a:ln>
                        </pic:spPr>
                      </pic:pic>
                    </a:graphicData>
                  </a:graphic>
                </wp:inline>
              </w:drawing>
            </w:r>
          </w:p>
          <w:p>
            <w:pPr>
              <w:rPr>
                <w:rFonts w:hint="eastAsia"/>
                <w:sz w:val="18"/>
              </w:rPr>
            </w:pPr>
            <w:r>
              <w:rPr>
                <w:rFonts w:hint="eastAsia"/>
                <w:sz w:val="18"/>
                <w:lang w:val="en-US" w:eastAsia="zh-CN"/>
              </w:rPr>
              <w:t>02幢105</w:t>
            </w:r>
            <w:r>
              <w:rPr>
                <w:rFonts w:hint="eastAsia"/>
                <w:sz w:val="18"/>
              </w:rPr>
              <w:t>号</w:t>
            </w:r>
            <w:r>
              <w:rPr>
                <w:rFonts w:hint="eastAsia"/>
                <w:sz w:val="18"/>
                <w:lang w:eastAsia="zh-CN"/>
              </w:rPr>
              <w:t>佳源通讯店内</w:t>
            </w:r>
            <w:r>
              <w:rPr>
                <w:rFonts w:hint="eastAsia"/>
                <w:sz w:val="18"/>
              </w:rPr>
              <w:t>照</w:t>
            </w:r>
          </w:p>
        </w:tc>
      </w:tr>
    </w:tbl>
    <w:p>
      <w:pPr>
        <w:rPr>
          <w:rFonts w:hint="eastAsia"/>
          <w:sz w:val="28"/>
        </w:rPr>
      </w:pPr>
    </w:p>
    <w:tbl>
      <w:tblPr>
        <w:tblStyle w:val="40"/>
        <w:tblpPr w:leftFromText="180" w:rightFromText="180" w:vertAnchor="text" w:tblpY="1"/>
        <w:tblOverlap w:val="never"/>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9"/>
        <w:gridCol w:w="4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2" w:hRule="atLeast"/>
        </w:trPr>
        <w:tc>
          <w:tcPr>
            <w:tcW w:w="4079" w:type="dxa"/>
            <w:noWrap w:val="0"/>
            <w:vAlign w:val="top"/>
          </w:tcPr>
          <w:p>
            <w:pPr>
              <w:rPr>
                <w:rFonts w:hint="eastAsia" w:eastAsia="宋体"/>
                <w:sz w:val="18"/>
                <w:lang w:eastAsia="zh-CN"/>
              </w:rPr>
            </w:pPr>
            <w:r>
              <w:rPr>
                <w:rFonts w:hint="eastAsia" w:eastAsia="宋体"/>
                <w:sz w:val="18"/>
                <w:lang w:eastAsia="zh-CN"/>
              </w:rPr>
              <w:drawing>
                <wp:inline distT="0" distB="0" distL="114300" distR="114300">
                  <wp:extent cx="2450465" cy="2722880"/>
                  <wp:effectExtent l="0" t="0" r="6985" b="1270"/>
                  <wp:docPr id="16" name="图片 36" descr="IMG_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descr="IMG_3591"/>
                          <pic:cNvPicPr>
                            <a:picLocks noChangeAspect="1"/>
                          </pic:cNvPicPr>
                        </pic:nvPicPr>
                        <pic:blipFill>
                          <a:blip r:embed="rId18"/>
                          <a:stretch>
                            <a:fillRect/>
                          </a:stretch>
                        </pic:blipFill>
                        <pic:spPr>
                          <a:xfrm>
                            <a:off x="0" y="0"/>
                            <a:ext cx="2450465" cy="2722880"/>
                          </a:xfrm>
                          <a:prstGeom prst="rect">
                            <a:avLst/>
                          </a:prstGeom>
                          <a:noFill/>
                          <a:ln>
                            <a:noFill/>
                          </a:ln>
                        </pic:spPr>
                      </pic:pic>
                    </a:graphicData>
                  </a:graphic>
                </wp:inline>
              </w:drawing>
            </w:r>
          </w:p>
          <w:p>
            <w:pPr>
              <w:rPr>
                <w:rFonts w:hint="eastAsia"/>
                <w:sz w:val="18"/>
              </w:rPr>
            </w:pPr>
            <w:r>
              <w:rPr>
                <w:rFonts w:hint="eastAsia"/>
                <w:sz w:val="18"/>
                <w:lang w:val="en-US" w:eastAsia="zh-CN"/>
              </w:rPr>
              <w:t>02幢305、306</w:t>
            </w:r>
            <w:r>
              <w:rPr>
                <w:rFonts w:hint="eastAsia"/>
                <w:sz w:val="18"/>
              </w:rPr>
              <w:t>号</w:t>
            </w:r>
            <w:r>
              <w:rPr>
                <w:rFonts w:hint="eastAsia"/>
                <w:sz w:val="18"/>
                <w:lang w:eastAsia="zh-CN"/>
              </w:rPr>
              <w:t>住宅</w:t>
            </w:r>
            <w:r>
              <w:rPr>
                <w:rFonts w:hint="eastAsia"/>
                <w:sz w:val="18"/>
              </w:rPr>
              <w:t>外照</w:t>
            </w:r>
          </w:p>
        </w:tc>
        <w:tc>
          <w:tcPr>
            <w:tcW w:w="4341" w:type="dxa"/>
            <w:noWrap w:val="0"/>
            <w:vAlign w:val="top"/>
          </w:tcPr>
          <w:p>
            <w:pPr>
              <w:ind w:right="360"/>
              <w:rPr>
                <w:rFonts w:hint="eastAsia" w:eastAsia="宋体"/>
                <w:sz w:val="18"/>
                <w:lang w:eastAsia="zh-CN"/>
              </w:rPr>
            </w:pPr>
            <w:r>
              <w:rPr>
                <w:rFonts w:hint="eastAsia" w:eastAsia="宋体"/>
                <w:sz w:val="18"/>
                <w:lang w:eastAsia="zh-CN"/>
              </w:rPr>
              <w:drawing>
                <wp:inline distT="0" distB="0" distL="114300" distR="114300">
                  <wp:extent cx="2616835" cy="2746375"/>
                  <wp:effectExtent l="0" t="0" r="12065" b="15875"/>
                  <wp:docPr id="17" name="图片 37" descr="IMG_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 descr="IMG_3611"/>
                          <pic:cNvPicPr>
                            <a:picLocks noChangeAspect="1"/>
                          </pic:cNvPicPr>
                        </pic:nvPicPr>
                        <pic:blipFill>
                          <a:blip r:embed="rId19"/>
                          <a:stretch>
                            <a:fillRect/>
                          </a:stretch>
                        </pic:blipFill>
                        <pic:spPr>
                          <a:xfrm>
                            <a:off x="0" y="0"/>
                            <a:ext cx="2616835" cy="2746375"/>
                          </a:xfrm>
                          <a:prstGeom prst="rect">
                            <a:avLst/>
                          </a:prstGeom>
                          <a:noFill/>
                          <a:ln>
                            <a:noFill/>
                          </a:ln>
                        </pic:spPr>
                      </pic:pic>
                    </a:graphicData>
                  </a:graphic>
                </wp:inline>
              </w:drawing>
            </w:r>
          </w:p>
          <w:p>
            <w:pPr>
              <w:rPr>
                <w:rFonts w:hint="default" w:eastAsia="宋体"/>
                <w:sz w:val="18"/>
                <w:lang w:val="en-US" w:eastAsia="zh-CN"/>
              </w:rPr>
            </w:pPr>
            <w:r>
              <w:rPr>
                <w:rFonts w:hint="eastAsia"/>
                <w:sz w:val="18"/>
                <w:lang w:val="en-US" w:eastAsia="zh-CN"/>
              </w:rPr>
              <w:t>01幢305号住宅外照</w:t>
            </w:r>
          </w:p>
        </w:tc>
      </w:tr>
    </w:tbl>
    <w:p>
      <w:pPr>
        <w:jc w:val="left"/>
        <w:rPr>
          <w:sz w:val="24"/>
          <w:szCs w:val="24"/>
        </w:rPr>
      </w:pPr>
      <w:r>
        <w:rPr>
          <w:sz w:val="24"/>
          <w:szCs w:val="24"/>
        </w:rPr>
        <w:t xml:space="preserve">          </w:t>
      </w:r>
    </w:p>
    <w:p>
      <w:pPr>
        <w:rPr>
          <w:rFonts w:hint="eastAsia"/>
          <w:sz w:val="36"/>
          <w:szCs w:val="36"/>
        </w:rPr>
      </w:pPr>
    </w:p>
    <w:p>
      <w:pPr>
        <w:jc w:val="center"/>
        <w:rPr>
          <w:sz w:val="36"/>
          <w:szCs w:val="36"/>
        </w:rPr>
      </w:pPr>
      <w:r>
        <w:rPr>
          <w:rFonts w:hint="eastAsia" w:cs="宋体"/>
          <w:sz w:val="36"/>
          <w:szCs w:val="36"/>
        </w:rPr>
        <w:t>估价对象实地查勘情况相关照片（三）</w:t>
      </w:r>
    </w:p>
    <w:p>
      <w:pPr>
        <w:jc w:val="center"/>
        <w:rPr>
          <w:sz w:val="36"/>
          <w:szCs w:val="36"/>
        </w:rPr>
      </w:pPr>
    </w:p>
    <w:p>
      <w:pPr>
        <w:jc w:val="left"/>
        <w:rPr>
          <w:rFonts w:ascii="宋体"/>
          <w:spacing w:val="10"/>
          <w:sz w:val="24"/>
          <w:szCs w:val="24"/>
        </w:rPr>
      </w:pPr>
      <w:r>
        <w:rPr>
          <w:rFonts w:hint="eastAsia" w:cs="宋体"/>
          <w:sz w:val="24"/>
          <w:szCs w:val="24"/>
        </w:rPr>
        <w:t>坐落：</w:t>
      </w:r>
      <w:r>
        <w:rPr>
          <w:rFonts w:hint="eastAsia" w:ascii="宋体" w:hAnsi="宋体" w:cs="宋体"/>
          <w:spacing w:val="10"/>
          <w:sz w:val="24"/>
          <w:szCs w:val="24"/>
        </w:rPr>
        <w:t>怀化市</w:t>
      </w:r>
      <w:r>
        <w:rPr>
          <w:rFonts w:hint="eastAsia" w:ascii="宋体" w:hAnsi="宋体" w:cs="宋体"/>
          <w:spacing w:val="10"/>
          <w:sz w:val="24"/>
          <w:szCs w:val="24"/>
          <w:lang w:eastAsia="zh-CN"/>
        </w:rPr>
        <w:t>湖南怀化工业园区和安家园南区</w:t>
      </w:r>
    </w:p>
    <w:p>
      <w:pPr>
        <w:jc w:val="left"/>
        <w:rPr>
          <w:rFonts w:hint="eastAsia" w:eastAsia="宋体"/>
          <w:sz w:val="24"/>
          <w:szCs w:val="24"/>
          <w:lang w:eastAsia="zh-CN"/>
        </w:rPr>
      </w:pPr>
      <w:r>
        <w:rPr>
          <w:rFonts w:hint="eastAsia" w:cs="宋体"/>
          <w:sz w:val="24"/>
          <w:szCs w:val="24"/>
        </w:rPr>
        <w:t>进行实地查勘的估价师及估价人员：张剑、</w:t>
      </w:r>
      <w:r>
        <w:rPr>
          <w:rFonts w:hint="eastAsia" w:cs="宋体"/>
          <w:sz w:val="24"/>
          <w:szCs w:val="24"/>
          <w:lang w:eastAsia="zh-CN"/>
        </w:rPr>
        <w:t>郁琳</w:t>
      </w:r>
    </w:p>
    <w:p>
      <w:pPr>
        <w:jc w:val="left"/>
        <w:rPr>
          <w:sz w:val="24"/>
          <w:szCs w:val="24"/>
        </w:rPr>
      </w:pPr>
      <w:r>
        <w:rPr>
          <w:rFonts w:hint="eastAsia" w:cs="宋体"/>
          <w:sz w:val="24"/>
          <w:szCs w:val="24"/>
        </w:rPr>
        <w:t>拍摄日期：</w:t>
      </w:r>
      <w:r>
        <w:rPr>
          <w:sz w:val="24"/>
          <w:szCs w:val="24"/>
        </w:rPr>
        <w:t>201</w:t>
      </w:r>
      <w:r>
        <w:rPr>
          <w:rFonts w:hint="eastAsia"/>
          <w:sz w:val="24"/>
          <w:szCs w:val="24"/>
          <w:lang w:val="en-US" w:eastAsia="zh-CN"/>
        </w:rPr>
        <w:t>9</w:t>
      </w:r>
      <w:r>
        <w:rPr>
          <w:rFonts w:hint="eastAsia" w:cs="宋体"/>
          <w:sz w:val="24"/>
          <w:szCs w:val="24"/>
        </w:rPr>
        <w:t>年</w:t>
      </w:r>
      <w:r>
        <w:rPr>
          <w:rFonts w:hint="eastAsia" w:cs="宋体"/>
          <w:sz w:val="24"/>
          <w:szCs w:val="24"/>
          <w:lang w:val="en-US" w:eastAsia="zh-CN"/>
        </w:rPr>
        <w:t>02</w:t>
      </w:r>
      <w:r>
        <w:rPr>
          <w:rFonts w:hint="eastAsia" w:cs="宋体"/>
          <w:sz w:val="24"/>
          <w:szCs w:val="24"/>
        </w:rPr>
        <w:t>月</w:t>
      </w:r>
      <w:r>
        <w:rPr>
          <w:rFonts w:hint="eastAsia"/>
          <w:sz w:val="24"/>
          <w:szCs w:val="24"/>
        </w:rPr>
        <w:t>25</w:t>
      </w:r>
      <w:r>
        <w:rPr>
          <w:rFonts w:hint="eastAsia" w:cs="宋体"/>
          <w:sz w:val="24"/>
          <w:szCs w:val="24"/>
        </w:rPr>
        <w:t>日</w:t>
      </w:r>
    </w:p>
    <w:p>
      <w:pPr>
        <w:jc w:val="left"/>
        <w:rPr>
          <w:rFonts w:ascii="宋体"/>
          <w:sz w:val="24"/>
          <w:szCs w:val="24"/>
        </w:rPr>
      </w:pPr>
    </w:p>
    <w:tbl>
      <w:tblPr>
        <w:tblStyle w:val="40"/>
        <w:tblpPr w:leftFromText="180" w:rightFromText="180" w:vertAnchor="text" w:tblpY="1"/>
        <w:tblOverlap w:val="never"/>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0"/>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10" w:type="dxa"/>
            <w:noWrap w:val="0"/>
            <w:vAlign w:val="top"/>
          </w:tcPr>
          <w:p>
            <w:pPr>
              <w:rPr>
                <w:rFonts w:hint="eastAsia" w:eastAsia="宋体"/>
                <w:sz w:val="18"/>
                <w:lang w:eastAsia="zh-CN"/>
              </w:rPr>
            </w:pPr>
            <w:r>
              <w:rPr>
                <w:rFonts w:hint="eastAsia" w:eastAsia="宋体"/>
                <w:sz w:val="18"/>
                <w:lang w:eastAsia="zh-CN"/>
              </w:rPr>
              <w:drawing>
                <wp:inline distT="0" distB="0" distL="114300" distR="114300">
                  <wp:extent cx="2533015" cy="2537460"/>
                  <wp:effectExtent l="0" t="0" r="635" b="15240"/>
                  <wp:docPr id="18" name="图片 38" descr="IMG_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descr="IMG_3604"/>
                          <pic:cNvPicPr>
                            <a:picLocks noChangeAspect="1"/>
                          </pic:cNvPicPr>
                        </pic:nvPicPr>
                        <pic:blipFill>
                          <a:blip r:embed="rId20"/>
                          <a:stretch>
                            <a:fillRect/>
                          </a:stretch>
                        </pic:blipFill>
                        <pic:spPr>
                          <a:xfrm>
                            <a:off x="0" y="0"/>
                            <a:ext cx="2533015" cy="2537460"/>
                          </a:xfrm>
                          <a:prstGeom prst="rect">
                            <a:avLst/>
                          </a:prstGeom>
                          <a:noFill/>
                          <a:ln>
                            <a:noFill/>
                          </a:ln>
                        </pic:spPr>
                      </pic:pic>
                    </a:graphicData>
                  </a:graphic>
                </wp:inline>
              </w:drawing>
            </w:r>
          </w:p>
          <w:p>
            <w:pPr>
              <w:rPr>
                <w:rFonts w:hint="eastAsia"/>
                <w:sz w:val="18"/>
              </w:rPr>
            </w:pPr>
            <w:r>
              <w:rPr>
                <w:rFonts w:hint="eastAsia"/>
                <w:sz w:val="18"/>
                <w:lang w:val="en-US" w:eastAsia="zh-CN"/>
              </w:rPr>
              <w:t>01幢305号住宅内照</w:t>
            </w:r>
          </w:p>
        </w:tc>
        <w:tc>
          <w:tcPr>
            <w:tcW w:w="4210" w:type="dxa"/>
            <w:noWrap w:val="0"/>
            <w:vAlign w:val="top"/>
          </w:tcPr>
          <w:p>
            <w:pPr>
              <w:ind w:right="360"/>
              <w:rPr>
                <w:rFonts w:hint="eastAsia" w:eastAsia="宋体"/>
                <w:sz w:val="18"/>
                <w:lang w:eastAsia="zh-CN"/>
              </w:rPr>
            </w:pPr>
            <w:r>
              <w:rPr>
                <w:rFonts w:hint="eastAsia" w:eastAsia="宋体"/>
                <w:sz w:val="18"/>
                <w:lang w:eastAsia="zh-CN"/>
              </w:rPr>
              <w:drawing>
                <wp:inline distT="0" distB="0" distL="114300" distR="114300">
                  <wp:extent cx="2533015" cy="2565400"/>
                  <wp:effectExtent l="0" t="0" r="635" b="6350"/>
                  <wp:docPr id="19" name="图片 39" descr="IMG_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9" descr="IMG_3609"/>
                          <pic:cNvPicPr>
                            <a:picLocks noChangeAspect="1"/>
                          </pic:cNvPicPr>
                        </pic:nvPicPr>
                        <pic:blipFill>
                          <a:blip r:embed="rId21"/>
                          <a:stretch>
                            <a:fillRect/>
                          </a:stretch>
                        </pic:blipFill>
                        <pic:spPr>
                          <a:xfrm>
                            <a:off x="0" y="0"/>
                            <a:ext cx="2533015" cy="2565400"/>
                          </a:xfrm>
                          <a:prstGeom prst="rect">
                            <a:avLst/>
                          </a:prstGeom>
                          <a:noFill/>
                          <a:ln>
                            <a:noFill/>
                          </a:ln>
                        </pic:spPr>
                      </pic:pic>
                    </a:graphicData>
                  </a:graphic>
                </wp:inline>
              </w:drawing>
            </w:r>
          </w:p>
          <w:p>
            <w:pPr>
              <w:rPr>
                <w:rFonts w:hint="eastAsia"/>
                <w:sz w:val="18"/>
              </w:rPr>
            </w:pPr>
            <w:r>
              <w:rPr>
                <w:rFonts w:hint="eastAsia"/>
                <w:sz w:val="18"/>
                <w:lang w:val="en-US" w:eastAsia="zh-CN"/>
              </w:rPr>
              <w:t>01幢305号住宅内照</w:t>
            </w:r>
          </w:p>
        </w:tc>
      </w:tr>
    </w:tbl>
    <w:p>
      <w:pPr>
        <w:jc w:val="left"/>
        <w:rPr>
          <w:sz w:val="24"/>
          <w:szCs w:val="24"/>
        </w:rPr>
      </w:pPr>
      <w:r>
        <w:rPr>
          <w:sz w:val="24"/>
          <w:szCs w:val="24"/>
        </w:rPr>
        <w:t xml:space="preserve">          </w:t>
      </w:r>
    </w:p>
    <w:p>
      <w:pPr>
        <w:widowControl/>
        <w:spacing w:line="360" w:lineRule="auto"/>
        <w:rPr>
          <w:rFonts w:ascii="宋体"/>
          <w:b/>
          <w:bCs/>
          <w:spacing w:val="10"/>
          <w:sz w:val="24"/>
          <w:szCs w:val="24"/>
        </w:rPr>
      </w:pPr>
    </w:p>
    <w:p>
      <w:pPr>
        <w:widowControl/>
        <w:spacing w:line="360" w:lineRule="auto"/>
        <w:rPr>
          <w:rFonts w:ascii="宋体"/>
          <w:b/>
          <w:bCs/>
          <w:spacing w:val="10"/>
          <w:sz w:val="24"/>
          <w:szCs w:val="24"/>
        </w:rPr>
      </w:pPr>
    </w:p>
    <w:p>
      <w:pPr>
        <w:widowControl/>
        <w:spacing w:line="360" w:lineRule="auto"/>
        <w:rPr>
          <w:rFonts w:hint="eastAsia" w:ascii="宋体"/>
          <w:b/>
          <w:bCs/>
          <w:spacing w:val="10"/>
          <w:sz w:val="24"/>
          <w:szCs w:val="24"/>
        </w:rPr>
      </w:pPr>
    </w:p>
    <w:p>
      <w:pPr>
        <w:widowControl/>
        <w:spacing w:line="360" w:lineRule="auto"/>
        <w:rPr>
          <w:rFonts w:hint="eastAsia" w:ascii="宋体"/>
          <w:b/>
          <w:bCs/>
          <w:spacing w:val="10"/>
          <w:sz w:val="24"/>
          <w:szCs w:val="24"/>
        </w:rPr>
      </w:pPr>
    </w:p>
    <w:p>
      <w:pPr>
        <w:widowControl/>
        <w:spacing w:line="360" w:lineRule="auto"/>
        <w:rPr>
          <w:rFonts w:hint="eastAsia" w:ascii="宋体"/>
          <w:b/>
          <w:bCs/>
          <w:spacing w:val="10"/>
          <w:sz w:val="24"/>
          <w:szCs w:val="24"/>
        </w:rPr>
      </w:pPr>
    </w:p>
    <w:p>
      <w:pPr>
        <w:widowControl/>
        <w:spacing w:line="360" w:lineRule="auto"/>
        <w:rPr>
          <w:rFonts w:hint="eastAsia" w:ascii="宋体"/>
          <w:b/>
          <w:bCs/>
          <w:spacing w:val="10"/>
          <w:sz w:val="24"/>
          <w:szCs w:val="24"/>
        </w:rPr>
      </w:pPr>
    </w:p>
    <w:p>
      <w:pPr>
        <w:widowControl/>
        <w:spacing w:line="360" w:lineRule="auto"/>
        <w:rPr>
          <w:rFonts w:hint="eastAsia" w:ascii="宋体"/>
          <w:b/>
          <w:bCs/>
          <w:spacing w:val="10"/>
          <w:sz w:val="24"/>
          <w:szCs w:val="24"/>
        </w:rPr>
      </w:pPr>
    </w:p>
    <w:p>
      <w:pPr>
        <w:widowControl/>
        <w:spacing w:line="360" w:lineRule="auto"/>
        <w:rPr>
          <w:rFonts w:hint="eastAsia" w:ascii="宋体"/>
          <w:b/>
          <w:bCs/>
          <w:spacing w:val="10"/>
          <w:sz w:val="24"/>
          <w:szCs w:val="24"/>
        </w:rPr>
      </w:pPr>
    </w:p>
    <w:p>
      <w:pPr>
        <w:jc w:val="center"/>
        <w:rPr>
          <w:rFonts w:hint="eastAsia" w:cs="宋体"/>
          <w:sz w:val="36"/>
          <w:szCs w:val="36"/>
        </w:rPr>
      </w:pPr>
    </w:p>
    <w:p>
      <w:pPr>
        <w:jc w:val="center"/>
        <w:rPr>
          <w:rFonts w:hint="eastAsia" w:cs="宋体"/>
          <w:sz w:val="36"/>
          <w:szCs w:val="36"/>
        </w:rPr>
      </w:pPr>
    </w:p>
    <w:p>
      <w:pPr>
        <w:jc w:val="center"/>
        <w:rPr>
          <w:rFonts w:hint="eastAsia" w:cs="宋体"/>
          <w:sz w:val="36"/>
          <w:szCs w:val="36"/>
        </w:rPr>
      </w:pPr>
    </w:p>
    <w:p>
      <w:pPr>
        <w:jc w:val="center"/>
        <w:rPr>
          <w:rFonts w:ascii="宋体"/>
          <w:b/>
          <w:bCs/>
          <w:spacing w:val="10"/>
          <w:sz w:val="24"/>
          <w:szCs w:val="24"/>
        </w:rPr>
      </w:pPr>
      <w:r>
        <w:rPr>
          <w:rFonts w:hint="eastAsia" w:cs="宋体"/>
          <w:sz w:val="36"/>
          <w:szCs w:val="36"/>
        </w:rPr>
        <w:t>案例照片及位置（一）</w:t>
      </w:r>
    </w:p>
    <w:tbl>
      <w:tblPr>
        <w:tblStyle w:val="40"/>
        <w:tblpPr w:leftFromText="180" w:rightFromText="180" w:vertAnchor="text" w:horzAnchor="margin" w:tblpXSpec="center" w:tblpY="195"/>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1"/>
        <w:gridCol w:w="4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4" w:hRule="atLeast"/>
        </w:trPr>
        <w:tc>
          <w:tcPr>
            <w:tcW w:w="4301"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eastAsia="宋体"/>
                <w:kern w:val="0"/>
                <w:sz w:val="24"/>
                <w:szCs w:val="24"/>
                <w:lang w:eastAsia="zh-CN"/>
              </w:rPr>
            </w:pPr>
            <w:r>
              <w:rPr>
                <w:rFonts w:hint="eastAsia" w:ascii="宋体" w:eastAsia="宋体"/>
                <w:kern w:val="0"/>
                <w:sz w:val="24"/>
                <w:szCs w:val="24"/>
                <w:lang w:eastAsia="zh-CN"/>
              </w:rPr>
              <w:drawing>
                <wp:inline distT="0" distB="0" distL="114300" distR="114300">
                  <wp:extent cx="2586355" cy="2367915"/>
                  <wp:effectExtent l="0" t="0" r="4445" b="13335"/>
                  <wp:docPr id="20" name="图片 49" descr="IMG_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9" descr="IMG_3619"/>
                          <pic:cNvPicPr>
                            <a:picLocks noChangeAspect="1"/>
                          </pic:cNvPicPr>
                        </pic:nvPicPr>
                        <pic:blipFill>
                          <a:blip r:embed="rId22"/>
                          <a:stretch>
                            <a:fillRect/>
                          </a:stretch>
                        </pic:blipFill>
                        <pic:spPr>
                          <a:xfrm>
                            <a:off x="0" y="0"/>
                            <a:ext cx="2586355" cy="2367915"/>
                          </a:xfrm>
                          <a:prstGeom prst="rect">
                            <a:avLst/>
                          </a:prstGeom>
                          <a:noFill/>
                          <a:ln>
                            <a:noFill/>
                          </a:ln>
                        </pic:spPr>
                      </pic:pic>
                    </a:graphicData>
                  </a:graphic>
                </wp:inline>
              </w:drawing>
            </w:r>
          </w:p>
        </w:tc>
        <w:tc>
          <w:tcPr>
            <w:tcW w:w="455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kern w:val="0"/>
                <w:sz w:val="24"/>
                <w:szCs w:val="24"/>
              </w:rPr>
            </w:pPr>
            <w:r>
              <mc:AlternateContent>
                <mc:Choice Requires="wps">
                  <w:drawing>
                    <wp:anchor distT="0" distB="0" distL="114300" distR="114300" simplePos="0" relativeHeight="251659264" behindDoc="0" locked="0" layoutInCell="1" allowOverlap="1">
                      <wp:simplePos x="0" y="0"/>
                      <wp:positionH relativeFrom="column">
                        <wp:posOffset>1209040</wp:posOffset>
                      </wp:positionH>
                      <wp:positionV relativeFrom="paragraph">
                        <wp:posOffset>1447165</wp:posOffset>
                      </wp:positionV>
                      <wp:extent cx="847725" cy="295275"/>
                      <wp:effectExtent l="5080" t="4445" r="4445" b="81280"/>
                      <wp:wrapNone/>
                      <wp:docPr id="2" name="自选图形 9"/>
                      <wp:cNvGraphicFramePr/>
                      <a:graphic xmlns:a="http://schemas.openxmlformats.org/drawingml/2006/main">
                        <a:graphicData uri="http://schemas.microsoft.com/office/word/2010/wordprocessingShape">
                          <wps:wsp>
                            <wps:cNvSpPr/>
                            <wps:spPr>
                              <a:xfrm>
                                <a:off x="0" y="0"/>
                                <a:ext cx="847725" cy="29527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cs="宋体"/>
                                    </w:rPr>
                                    <w:t>案例对象</w:t>
                                  </w:r>
                                  <w:r>
                                    <w:rPr>
                                      <w:rFonts w:hint="eastAsia" w:cs="宋体"/>
                                      <w:lang w:val="en-US" w:eastAsia="zh-CN"/>
                                    </w:rPr>
                                    <w:t>A</w:t>
                                  </w:r>
                                </w:p>
                              </w:txbxContent>
                            </wps:txbx>
                            <wps:bodyPr vert="horz" wrap="square" anchor="t" upright="1"/>
                          </wps:wsp>
                        </a:graphicData>
                      </a:graphic>
                    </wp:anchor>
                  </w:drawing>
                </mc:Choice>
                <mc:Fallback>
                  <w:pict>
                    <v:shape id="自选图形 9" o:spid="_x0000_s1026" o:spt="61" type="#_x0000_t61" style="position:absolute;left:0pt;margin-left:95.2pt;margin-top:113.95pt;height:23.25pt;width:66.75pt;z-index:251659264;mso-width-relative:page;mso-height-relative:page;" fillcolor="#FFFFFF" filled="t" stroked="t" coordsize="21600,21600" o:gfxdata="UEsDBAoAAAAAAIdO4kAAAAAAAAAAAAAAAAAEAAAAZHJzL1BLAwQUAAAACACHTuJAHdXVLdcAAAAL&#10;AQAADwAAAGRycy9kb3ducmV2LnhtbE2PzU7DMBCE70i8g7VI3KjdJOpPiFMJpF4qccDwAG68TSLi&#10;dRS7bXj7bk9w29kdzX5T7WY/iAtOsQ+kYblQIJCa4HpqNXx/7V82IGKy5OwQCDX8YoRd/fhQ2dKF&#10;K33ixaRWcAjF0mroUhpLKWPTobdxEUYkvp3C5G1iObXSTfbK4X6QmVIr6W1P/KGzI7532PyYs9fQ&#10;0KnfSGPMXn1QvjLz4W2ig9bPT0v1CiLhnP7McMdndKiZ6RjO5KIYWG9VwVYNWbbegmBHnuU8HHmz&#10;LgqQdSX/d6hvUEsDBBQAAAAIAIdO4kBHsn+jNwIAAGMEAAAOAAAAZHJzL2Uyb0RvYy54bWytVEuO&#10;EzEQ3SNxB8v7SSfNhMy00pnFhLBBMGLgAJW2u9vIP2wnnbBihzjD7FhyB7jNSHALyk5PPrBBiF44&#10;Zbv8/N4rV6ZXGyXJmjsvjC7paDCkhOvKMKGbkr59szi7oMQH0Ayk0bykW+7p1ezxo2lnC56b1kjG&#10;HUEQ7YvOlrQNwRZZ5quWK/ADY7nGzdo4BQGnrsmYgw7Rlczy4fBp1hnHrDMV9x5X57tNOkv4dc2r&#10;8KquPQ9ElhS5hTS6NC7jmM2mUDQObCuqngb8AwsFQuOle6g5BCArJ/6AUqJyxps6DCqjMlPXouJJ&#10;A6oZDX9Tc9uC5UkLmuPt3ib//2Crl+sbRwQraU6JBoUl+vHp68+Pn+/vvt9/+0Iuo0Od9QUm3tob&#10;1888hlHupnYq/qIQskmubveu8k0gFS5enE8m+ZiSCrfyy3E+GUfM7HDYOh+ec6NIDEracdbw11i5&#10;a5DSrELyFdYvfEgGs54msHcjSmolsV5rkOTs/Mlk/FDQoyTUdUiaDPHrr+8hkcgDgYjvjRRsIaRM&#10;E9csr6UjiF/SRfr6wydpUpOupCgtqgR8xbWEgKGy6KvXTVJwcsIfA0dOe1YnaZHYHHy7I5C24v1Q&#10;KBG4S1HLgT3TjIStxdppbDIaySjOKJEcezJGKTOAkH+TiYZIjQWKVd/VOUZhs9wgTAyXhm3x0WDX&#10;Y7Va4z7gjdhBKPX9ChzeD7rC5ZKiByvrRNNi3igZF4/jS07l77sutsrxPN18+G+Y/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d1dUt1wAAAAsBAAAPAAAAAAAAAAEAIAAAACIAAABkcnMvZG93bnJl&#10;di54bWxQSwECFAAUAAAACACHTuJAR7J/ozcCAABjBAAADgAAAAAAAAABACAAAAAmAQAAZHJzL2Uy&#10;b0RvYy54bWxQSwUGAAAAAAYABgBZAQAAzwUAAAAA&#10;" adj="1350,25920">
                      <v:fill on="t" focussize="0,0"/>
                      <v:stroke color="#000000" joinstyle="miter"/>
                      <v:imagedata o:title=""/>
                      <o:lock v:ext="edit" aspectratio="f"/>
                      <v:textbox>
                        <w:txbxContent>
                          <w:p>
                            <w:pPr>
                              <w:rPr>
                                <w:rFonts w:hint="eastAsia" w:eastAsia="宋体"/>
                                <w:lang w:val="en-US" w:eastAsia="zh-CN"/>
                              </w:rPr>
                            </w:pPr>
                            <w:r>
                              <w:rPr>
                                <w:rFonts w:hint="eastAsia" w:cs="宋体"/>
                              </w:rPr>
                              <w:t>案例对象</w:t>
                            </w:r>
                            <w:r>
                              <w:rPr>
                                <w:rFonts w:hint="eastAsia" w:cs="宋体"/>
                                <w:lang w:val="en-US" w:eastAsia="zh-CN"/>
                              </w:rPr>
                              <w:t>A</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2663190" cy="2266315"/>
                  <wp:effectExtent l="0" t="0" r="3810" b="635"/>
                  <wp:docPr id="21"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2" descr="IMG_256"/>
                          <pic:cNvPicPr>
                            <a:picLocks noChangeAspect="1"/>
                          </pic:cNvPicPr>
                        </pic:nvPicPr>
                        <pic:blipFill>
                          <a:blip r:embed="rId8"/>
                          <a:stretch>
                            <a:fillRect/>
                          </a:stretch>
                        </pic:blipFill>
                        <pic:spPr>
                          <a:xfrm>
                            <a:off x="0" y="0"/>
                            <a:ext cx="2663190" cy="22663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8" w:hRule="atLeast"/>
        </w:trPr>
        <w:tc>
          <w:tcPr>
            <w:tcW w:w="4301" w:type="dxa"/>
            <w:tcBorders>
              <w:top w:val="single" w:color="auto" w:sz="4" w:space="0"/>
              <w:left w:val="single" w:color="auto" w:sz="4" w:space="0"/>
              <w:bottom w:val="single" w:color="auto" w:sz="4" w:space="0"/>
              <w:right w:val="single" w:color="auto" w:sz="4" w:space="0"/>
            </w:tcBorders>
            <w:noWrap w:val="0"/>
            <w:vAlign w:val="top"/>
          </w:tcPr>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2600960" cy="2295525"/>
                  <wp:effectExtent l="0" t="0" r="8890" b="9525"/>
                  <wp:docPr id="22"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8" descr="IMG_256"/>
                          <pic:cNvPicPr>
                            <a:picLocks noChangeAspect="1"/>
                          </pic:cNvPicPr>
                        </pic:nvPicPr>
                        <pic:blipFill>
                          <a:blip r:embed="rId23"/>
                          <a:stretch>
                            <a:fillRect/>
                          </a:stretch>
                        </pic:blipFill>
                        <pic:spPr>
                          <a:xfrm>
                            <a:off x="0" y="0"/>
                            <a:ext cx="2600960" cy="2295525"/>
                          </a:xfrm>
                          <a:prstGeom prst="rect">
                            <a:avLst/>
                          </a:prstGeom>
                          <a:noFill/>
                          <a:ln>
                            <a:noFill/>
                          </a:ln>
                        </pic:spPr>
                      </pic:pic>
                    </a:graphicData>
                  </a:graphic>
                </wp:inline>
              </w:drawing>
            </w:r>
          </w:p>
          <w:p>
            <w:pPr>
              <w:widowControl/>
              <w:jc w:val="left"/>
              <w:rPr>
                <w:rFonts w:hint="eastAsia" w:ascii="宋体" w:eastAsia="宋体"/>
                <w:kern w:val="0"/>
                <w:sz w:val="24"/>
                <w:szCs w:val="24"/>
                <w:lang w:eastAsia="zh-CN"/>
              </w:rPr>
            </w:pPr>
          </w:p>
        </w:tc>
        <w:tc>
          <w:tcPr>
            <w:tcW w:w="455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kern w:val="0"/>
                <w:sz w:val="24"/>
                <w:szCs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147320</wp:posOffset>
                      </wp:positionH>
                      <wp:positionV relativeFrom="paragraph">
                        <wp:posOffset>319405</wp:posOffset>
                      </wp:positionV>
                      <wp:extent cx="885825" cy="276225"/>
                      <wp:effectExtent l="4445" t="64135" r="5080" b="21590"/>
                      <wp:wrapNone/>
                      <wp:docPr id="4" name="自选图形 17"/>
                      <wp:cNvGraphicFramePr/>
                      <a:graphic xmlns:a="http://schemas.openxmlformats.org/drawingml/2006/main">
                        <a:graphicData uri="http://schemas.microsoft.com/office/word/2010/wordprocessingShape">
                          <wps:wsp>
                            <wps:cNvSpPr/>
                            <wps:spPr>
                              <a:xfrm rot="10800000">
                                <a:off x="0" y="0"/>
                                <a:ext cx="885825" cy="276225"/>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eastAsia="zh-CN"/>
                                    </w:rPr>
                                    <w:t>案例对象</w:t>
                                  </w:r>
                                  <w:r>
                                    <w:rPr>
                                      <w:rFonts w:hint="eastAsia"/>
                                      <w:lang w:val="en-US" w:eastAsia="zh-CN"/>
                                    </w:rPr>
                                    <w:t>B</w:t>
                                  </w:r>
                                </w:p>
                              </w:txbxContent>
                            </wps:txbx>
                            <wps:bodyPr vert="horz" wrap="square" anchor="t" upright="1"/>
                          </wps:wsp>
                        </a:graphicData>
                      </a:graphic>
                    </wp:anchor>
                  </w:drawing>
                </mc:Choice>
                <mc:Fallback>
                  <w:pict>
                    <v:shape id="自选图形 17" o:spid="_x0000_s1026" o:spt="61" type="#_x0000_t61" style="position:absolute;left:0pt;margin-left:11.6pt;margin-top:25.15pt;height:21.75pt;width:69.75pt;rotation:11796480f;z-index:251661312;mso-width-relative:page;mso-height-relative:page;" fillcolor="#FFFFFF" filled="t" stroked="t" coordsize="21600,21600" o:gfxdata="UEsDBAoAAAAAAIdO4kAAAAAAAAAAAAAAAAAEAAAAZHJzL1BLAwQUAAAACACHTuJA4g52ltoAAAAI&#10;AQAADwAAAGRycy9kb3ducmV2LnhtbE2PS2/CMBCE70j9D9Yi9VIVm0SlkGaDVFQOfaiotBduJl6S&#10;qPE6is3r39ecynE0o5lv8vnJtuJAvW8cI4xHCgRx6UzDFcLP9/J+CsIHzUa3jgnhTB7mxc0g15lx&#10;R/6iwzpUIpawzzRCHUKXSenLmqz2I9cRR2/neqtDlH0lTa+Psdy2MlFqIq1uOC7UuqNFTeXvem8R&#10;NurFVZv3c/h8fl19rJb+bvE2I8Tb4Vg9gQh0Cv9huOBHdCgi09bt2XjRIiRpEpMIDyoFcfEnySOI&#10;LcIsnYIscnl9oPgDUEsDBBQAAAAIAIdO4kDrTqt6QwIAAHMEAAAOAAAAZHJzL2Uyb0RvYy54bWyt&#10;VM2O0zAQviPxDpbvu0nLdluipnvYUi4IViw8wDR2EiP/YbtNyokb4hm4ceQd4G1Wgrdg7GZLCxeE&#10;yMEa25NvvvlmxvOrXkmy5c4Lo0s6Os8p4boyTOimpK9frc5mlPgAmoE0mpd0xz29Wjx8MO9swcem&#10;NZJxRxBE+6KzJW1DsEWW+arlCvy5sVzjZW2cgoBb12TMQYfoSmbjPL/MOuOYdabi3uPpcn9JFwm/&#10;rnkVXtS154HIkiK3kFaX1nVcs8UcisaBbUU10IB/YKFAaAx6gFpCALJx4g8oJSpnvKnDeWVUZupa&#10;VDzlgNmM8t+yuW3B8pQLiuPtQSb//2Cr59sbRwQr6QUlGhSW6PuHLz/ef7z79O3u62cymkaJOusL&#10;9Ly1N27YeTRjvn3tFHEGdR3lszx+SQZMjPRJ5d1BZd4HUuHhbDaZjSeUVHg1nl6O0UbQbI8VMa3z&#10;4Sk3ikSjpB1nDX+JlbwGKc0mpACwfeZDEpwNtIG9GVFSK4n124IkZxePppP7Ah85jY+dponxPvwA&#10;iUTuCUR8b6RgKyFl2rhmfS0dQfySrtI3cD9xk5p0JX08SVkCdnUtIWDCyqLOXjcpg5M//DFwkjEx&#10;Ry4nbpHYEny7J5CuYnwolAg8lgaKlgN7ohkJO4u11Dh0NJJRnFEiOc5otJJnACH/xhNJSI0Fik2w&#10;L3u0Qr/uESaaa8N22ET4CmC1WuPeYUScKEz17QYcxgdd4XFJUYONdaJpY7sk4eLv2Nmp/MMUxtE5&#10;3qfIv96K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DnaW2gAAAAgBAAAPAAAAAAAAAAEAIAAA&#10;ACIAAABkcnMvZG93bnJldi54bWxQSwECFAAUAAAACACHTuJA606rekMCAABzBAAADgAAAAAAAAAB&#10;ACAAAAApAQAAZHJzL2Uyb0RvYy54bWxQSwUGAAAAAAYABgBZAQAA3gUAAAAA&#10;" adj="1350,25920">
                      <v:fill on="t" focussize="0,0"/>
                      <v:stroke color="#000000" joinstyle="miter"/>
                      <v:imagedata o:title=""/>
                      <o:lock v:ext="edit" aspectratio="f"/>
                      <v:textbox>
                        <w:txbxContent>
                          <w:p>
                            <w:pPr>
                              <w:rPr>
                                <w:rFonts w:hint="default" w:eastAsia="宋体"/>
                                <w:lang w:val="en-US" w:eastAsia="zh-CN"/>
                              </w:rPr>
                            </w:pPr>
                            <w:r>
                              <w:rPr>
                                <w:rFonts w:hint="eastAsia"/>
                                <w:lang w:eastAsia="zh-CN"/>
                              </w:rPr>
                              <w:t>案例对象</w:t>
                            </w:r>
                            <w:r>
                              <w:rPr>
                                <w:rFonts w:hint="eastAsia"/>
                                <w:lang w:val="en-US" w:eastAsia="zh-CN"/>
                              </w:rPr>
                              <w:t>B</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2663190" cy="2466340"/>
                  <wp:effectExtent l="0" t="0" r="3810" b="10160"/>
                  <wp:docPr id="23"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1" descr="IMG_256"/>
                          <pic:cNvPicPr>
                            <a:picLocks noChangeAspect="1"/>
                          </pic:cNvPicPr>
                        </pic:nvPicPr>
                        <pic:blipFill>
                          <a:blip r:embed="rId8"/>
                          <a:stretch>
                            <a:fillRect/>
                          </a:stretch>
                        </pic:blipFill>
                        <pic:spPr>
                          <a:xfrm>
                            <a:off x="0" y="0"/>
                            <a:ext cx="2663190" cy="2466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8" w:hRule="atLeast"/>
        </w:trPr>
        <w:tc>
          <w:tcPr>
            <w:tcW w:w="4301"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hint="eastAsia" w:ascii="宋体" w:eastAsia="宋体"/>
                <w:kern w:val="0"/>
                <w:sz w:val="24"/>
                <w:szCs w:val="24"/>
                <w:lang w:eastAsia="zh-CN"/>
              </w:rPr>
            </w:pPr>
            <w:r>
              <w:rPr>
                <w:rFonts w:hint="eastAsia" w:ascii="宋体" w:eastAsia="宋体"/>
                <w:kern w:val="0"/>
                <w:sz w:val="24"/>
                <w:szCs w:val="24"/>
                <w:lang w:eastAsia="zh-CN"/>
              </w:rPr>
              <w:drawing>
                <wp:inline distT="0" distB="0" distL="114300" distR="114300">
                  <wp:extent cx="2590800" cy="2616835"/>
                  <wp:effectExtent l="0" t="0" r="0" b="12065"/>
                  <wp:docPr id="24" name="图片 47" descr="IMG_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7" descr="IMG_6498"/>
                          <pic:cNvPicPr>
                            <a:picLocks noChangeAspect="1"/>
                          </pic:cNvPicPr>
                        </pic:nvPicPr>
                        <pic:blipFill>
                          <a:blip r:embed="rId24"/>
                          <a:stretch>
                            <a:fillRect/>
                          </a:stretch>
                        </pic:blipFill>
                        <pic:spPr>
                          <a:xfrm>
                            <a:off x="0" y="0"/>
                            <a:ext cx="2590800" cy="2616835"/>
                          </a:xfrm>
                          <a:prstGeom prst="rect">
                            <a:avLst/>
                          </a:prstGeom>
                          <a:noFill/>
                          <a:ln>
                            <a:noFill/>
                          </a:ln>
                        </pic:spPr>
                      </pic:pic>
                    </a:graphicData>
                  </a:graphic>
                </wp:inline>
              </w:drawing>
            </w:r>
          </w:p>
        </w:tc>
        <w:tc>
          <w:tcPr>
            <w:tcW w:w="4554"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kern w:val="0"/>
                <w:sz w:val="24"/>
                <w:szCs w:val="24"/>
              </w:rPr>
            </w:pPr>
            <w:r>
              <w:rPr>
                <w:rFonts w:hint="eastAsia" w:ascii="宋体"/>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1390015</wp:posOffset>
                      </wp:positionH>
                      <wp:positionV relativeFrom="paragraph">
                        <wp:posOffset>867410</wp:posOffset>
                      </wp:positionV>
                      <wp:extent cx="856615" cy="297180"/>
                      <wp:effectExtent l="5080" t="68580" r="14605" b="15240"/>
                      <wp:wrapNone/>
                      <wp:docPr id="3" name="自选图形 5"/>
                      <wp:cNvGraphicFramePr/>
                      <a:graphic xmlns:a="http://schemas.openxmlformats.org/drawingml/2006/main">
                        <a:graphicData uri="http://schemas.microsoft.com/office/word/2010/wordprocessingShape">
                          <wps:wsp>
                            <wps:cNvSpPr/>
                            <wps:spPr>
                              <a:xfrm flipV="1">
                                <a:off x="0" y="0"/>
                                <a:ext cx="856615" cy="29718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cs="宋体"/>
                                    </w:rPr>
                                    <w:t>案例对象</w:t>
                                  </w:r>
                                  <w:r>
                                    <w:rPr>
                                      <w:rFonts w:hint="eastAsia" w:cs="宋体"/>
                                      <w:lang w:val="en-US" w:eastAsia="zh-CN"/>
                                    </w:rPr>
                                    <w:t>C</w:t>
                                  </w:r>
                                </w:p>
                              </w:txbxContent>
                            </wps:txbx>
                            <wps:bodyPr wrap="square" upright="1"/>
                          </wps:wsp>
                        </a:graphicData>
                      </a:graphic>
                    </wp:anchor>
                  </w:drawing>
                </mc:Choice>
                <mc:Fallback>
                  <w:pict>
                    <v:shape id="自选图形 5" o:spid="_x0000_s1026" o:spt="61" type="#_x0000_t61" style="position:absolute;left:0pt;flip:y;margin-left:109.45pt;margin-top:68.3pt;height:23.4pt;width:67.45pt;z-index:251660288;mso-width-relative:page;mso-height-relative:page;" fillcolor="#FFFFFF" filled="t" stroked="t" coordsize="21600,21600" o:gfxdata="UEsDBAoAAAAAAIdO4kAAAAAAAAAAAAAAAAAEAAAAZHJzL1BLAwQUAAAACACHTuJAAZXSydgAAAAL&#10;AQAADwAAAGRycy9kb3ducmV2LnhtbE2PMW/CMBCF90r8B+uQuhUnBKI0jcNQiYWlgjIwOvGRRMTn&#10;KDaQ/Ptep3a89z69e6/YTbYXDxx950hBvIpAINXOdNQoOH/v3zIQPmgyuneECmb0sCsXL4XOjXvS&#10;ER+n0AgOIZ9rBW0IQy6lr1u02q/cgMTe1Y1WBz7HRppRPznc9nIdRam0uiP+0OoBP1usb6e7VXCp&#10;z9fpa3/bNNlcbQ9eTvOBjkq9LuPoA0TAKfzB8Fufq0PJnSp3J+NFr2AdZ++MspGkKQgmkm3CYypW&#10;smQDsizk/w3lD1BLAwQUAAAACACHTuJA23ZOWTICAABWBAAADgAAAGRycy9lMm9Eb2MueG1srVTN&#10;jtMwEL4j8Q6W79s0XdrtRk33sKVcEKxY4D6NncTIf9hu0964IZ5hbxx5B3ibleAtGLvZ0sIFIXKw&#10;xvHkm/m+z5PZ1VZJsuHOC6NLmg+GlHBdGSZ0U9I3r5dnU0p8AM1AGs1LuuOeXs0fP5p1tuAj0xrJ&#10;uCMIon3R2ZK2Idgiy3zVcgV+YCzXeFgbpyDg1jUZc9AhupLZaDicZJ1xzDpTce/x7WJ/SOcJv655&#10;FV7WteeByJJibyGtLq2ruGbzGRSNA9uKqm8D/qELBUJj0QPUAgKQtRN/QClROeNNHQaVUZmpa1Hx&#10;xAHZ5MPf2Ny2YHniguJ4e5DJ/z/Y6sXmxhHBSnpOiQaFFn3/+OXHh0/3d9/uv34m46hQZ32Bibf2&#10;xvU7j2Gku62dIrUU9i2anwRASmSb9N0d9OXbQCp8OR1PJvmYkgqPRpcX+TTpn+1hIpx1PjzjRpEY&#10;lLTjrOGv0MNrkNKsQyoAm+c+JKlZ3zCwdzkltZLo3AYkOXtyfjF+sPYoaXScdDHEJ5LD8j0kRg8N&#10;RHxvpGBLIWXauGZ1LR1B/JIu09N/fJImNelKejkeRZaA97mWEDBUFhX2ukkMTr7wx8Cxp0NXJ2mx&#10;sQX4dt9AOor1oVAi8OgKFC0H9lQzEnYWXdQ4bjQ2ozijRHKczhilzABC/k0mCiI1KhT93zseo7Bd&#10;bREmhivDdnh9OpwfpPd+DQ5rrq0TTYv25UmhmIeXNwndD1qcjuN9KvHrdzD/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GV0snYAAAACwEAAA8AAAAAAAAAAQAgAAAAIgAAAGRycy9kb3ducmV2Lnht&#10;bFBLAQIUABQAAAAIAIdO4kDbdk5ZMgIAAFYEAAAOAAAAAAAAAAEAIAAAACcBAABkcnMvZTJvRG9j&#10;LnhtbFBLBQYAAAAABgAGAFkBAADLBQAAAAA=&#10;" adj="1350,25920">
                      <v:fill on="t" focussize="0,0"/>
                      <v:stroke color="#000000" joinstyle="miter"/>
                      <v:imagedata o:title=""/>
                      <o:lock v:ext="edit" aspectratio="f"/>
                      <v:textbox>
                        <w:txbxContent>
                          <w:p>
                            <w:pPr>
                              <w:rPr>
                                <w:rFonts w:hint="eastAsia" w:eastAsia="宋体"/>
                                <w:lang w:val="en-US" w:eastAsia="zh-CN"/>
                              </w:rPr>
                            </w:pPr>
                            <w:r>
                              <w:rPr>
                                <w:rFonts w:hint="eastAsia" w:cs="宋体"/>
                              </w:rPr>
                              <w:t>案例对象</w:t>
                            </w:r>
                            <w:r>
                              <w:rPr>
                                <w:rFonts w:hint="eastAsia" w:cs="宋体"/>
                                <w:lang w:val="en-US" w:eastAsia="zh-CN"/>
                              </w:rPr>
                              <w:t>C</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2663190" cy="2466340"/>
                  <wp:effectExtent l="0" t="0" r="3810" b="10160"/>
                  <wp:docPr id="25"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4" descr="IMG_256"/>
                          <pic:cNvPicPr>
                            <a:picLocks noChangeAspect="1"/>
                          </pic:cNvPicPr>
                        </pic:nvPicPr>
                        <pic:blipFill>
                          <a:blip r:embed="rId8"/>
                          <a:stretch>
                            <a:fillRect/>
                          </a:stretch>
                        </pic:blipFill>
                        <pic:spPr>
                          <a:xfrm>
                            <a:off x="0" y="0"/>
                            <a:ext cx="2663190" cy="2466340"/>
                          </a:xfrm>
                          <a:prstGeom prst="rect">
                            <a:avLst/>
                          </a:prstGeom>
                          <a:noFill/>
                          <a:ln>
                            <a:noFill/>
                          </a:ln>
                        </pic:spPr>
                      </pic:pic>
                    </a:graphicData>
                  </a:graphic>
                </wp:inline>
              </w:drawing>
            </w:r>
          </w:p>
        </w:tc>
      </w:tr>
    </w:tbl>
    <w:p>
      <w:pPr>
        <w:widowControl/>
        <w:spacing w:line="360" w:lineRule="auto"/>
        <w:rPr>
          <w:rFonts w:ascii="宋体"/>
          <w:b/>
          <w:bCs/>
          <w:spacing w:val="10"/>
          <w:sz w:val="24"/>
          <w:szCs w:val="24"/>
        </w:rPr>
      </w:pPr>
    </w:p>
    <w:sectPr>
      <w:headerReference r:id="rId4" w:type="first"/>
      <w:headerReference r:id="rId3" w:type="default"/>
      <w:footerReference r:id="rId5" w:type="default"/>
      <w:pgSz w:w="11907" w:h="16840"/>
      <w:pgMar w:top="1254" w:right="1512" w:bottom="1474" w:left="1985" w:header="855" w:footer="551" w:gutter="0"/>
      <w:pgNumType w:start="0"/>
      <w:cols w:space="720" w:num="1"/>
      <w:titlePg/>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幼圆">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roma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page" w:x="6126" w:y="581"/>
      <w:rPr>
        <w:rStyle w:val="46"/>
      </w:rPr>
    </w:pPr>
    <w:r>
      <w:fldChar w:fldCharType="begin"/>
    </w:r>
    <w:r>
      <w:rPr>
        <w:rStyle w:val="46"/>
      </w:rPr>
      <w:instrText xml:space="preserve">PAGE  </w:instrText>
    </w:r>
    <w:r>
      <w:fldChar w:fldCharType="separate"/>
    </w:r>
    <w:r>
      <w:rPr>
        <w:rStyle w:val="46"/>
      </w:rPr>
      <w:t>18</w:t>
    </w:r>
    <w:r>
      <w:fldChar w:fldCharType="end"/>
    </w:r>
  </w:p>
  <w:p>
    <w:pPr>
      <w:widowControl/>
      <w:tabs>
        <w:tab w:val="center" w:pos="3713"/>
        <w:tab w:val="left" w:pos="4935"/>
      </w:tabs>
      <w:spacing w:line="360" w:lineRule="auto"/>
      <w:ind w:right="360"/>
      <w:rPr>
        <w:rFonts w:ascii="幼圆" w:eastAsia="幼圆"/>
        <w:color w:val="808080"/>
        <w:sz w:val="15"/>
        <w:szCs w:val="15"/>
        <w:u w:val="single"/>
      </w:rPr>
    </w:pPr>
    <w:r>
      <w:rPr>
        <w:rFonts w:hint="eastAsia" w:ascii="幼圆" w:eastAsia="幼圆" w:cs="幼圆"/>
        <w:color w:val="808080"/>
        <w:sz w:val="15"/>
        <w:szCs w:val="15"/>
        <w:u w:val="single"/>
      </w:rPr>
      <w:t>项目名称：</w:t>
    </w:r>
    <w:r>
      <w:rPr>
        <w:rFonts w:hint="eastAsia" w:ascii="幼圆" w:eastAsia="幼圆" w:cs="幼圆"/>
        <w:color w:val="808080"/>
        <w:sz w:val="15"/>
        <w:szCs w:val="15"/>
        <w:u w:val="single"/>
        <w:lang w:eastAsia="zh-CN"/>
      </w:rPr>
      <w:t>湖南怀化工业园区和安家园南区01幢101、02幢104、105号门面，01幢305、02幢305、306号住宅</w:t>
    </w:r>
    <w:r>
      <w:rPr>
        <w:rFonts w:hint="eastAsia" w:ascii="幼圆" w:eastAsia="幼圆" w:cs="幼圆"/>
        <w:color w:val="808080"/>
        <w:sz w:val="15"/>
        <w:szCs w:val="15"/>
        <w:u w:val="single"/>
      </w:rPr>
      <w:t>司法涉案的房地产市场价值评估</w:t>
    </w:r>
  </w:p>
  <w:p>
    <w:pPr>
      <w:pStyle w:val="24"/>
      <w:tabs>
        <w:tab w:val="left" w:pos="1470"/>
        <w:tab w:val="right" w:pos="8364"/>
        <w:tab w:val="clear" w:pos="8306"/>
      </w:tabs>
      <w:ind w:right="29" w:rightChars="14"/>
      <w:rPr>
        <w:rFonts w:ascii="幼圆" w:eastAsia="幼圆" w:cs="幼圆"/>
        <w:color w:val="808080"/>
        <w:sz w:val="15"/>
        <w:szCs w:val="15"/>
      </w:rPr>
    </w:pPr>
    <w:r>
      <w:rPr>
        <w:rFonts w:hint="eastAsia" w:ascii="幼圆" w:eastAsia="幼圆" w:cs="幼圆"/>
        <w:color w:val="808080"/>
        <w:sz w:val="15"/>
        <w:szCs w:val="15"/>
      </w:rPr>
      <w:t>地址：长沙市芙蓉中路二段</w:t>
    </w:r>
    <w:r>
      <w:rPr>
        <w:rFonts w:ascii="幼圆" w:eastAsia="幼圆" w:cs="幼圆"/>
        <w:color w:val="808080"/>
        <w:sz w:val="15"/>
        <w:szCs w:val="15"/>
      </w:rPr>
      <w:t>80</w:t>
    </w:r>
    <w:r>
      <w:rPr>
        <w:rFonts w:hint="eastAsia" w:ascii="幼圆" w:eastAsia="幼圆" w:cs="幼圆"/>
        <w:color w:val="808080"/>
        <w:sz w:val="15"/>
        <w:szCs w:val="15"/>
      </w:rPr>
      <w:t>号顺天国际财富中心</w:t>
    </w:r>
    <w:r>
      <w:rPr>
        <w:rFonts w:ascii="幼圆" w:eastAsia="幼圆" w:cs="幼圆"/>
        <w:color w:val="808080"/>
        <w:sz w:val="15"/>
        <w:szCs w:val="15"/>
      </w:rPr>
      <w:t>16</w:t>
    </w:r>
    <w:r>
      <w:rPr>
        <w:rFonts w:hint="eastAsia" w:ascii="幼圆" w:eastAsia="幼圆" w:cs="幼圆"/>
        <w:color w:val="808080"/>
        <w:sz w:val="15"/>
        <w:szCs w:val="15"/>
      </w:rPr>
      <w:t>层</w:t>
    </w:r>
    <w:r>
      <w:rPr>
        <w:rFonts w:ascii="幼圆" w:eastAsia="幼圆" w:cs="幼圆"/>
        <w:color w:val="808080"/>
        <w:sz w:val="15"/>
        <w:szCs w:val="15"/>
      </w:rPr>
      <w:t xml:space="preserve">   </w:t>
    </w:r>
  </w:p>
  <w:p>
    <w:pPr>
      <w:pStyle w:val="24"/>
      <w:tabs>
        <w:tab w:val="left" w:pos="1470"/>
        <w:tab w:val="right" w:pos="8364"/>
        <w:tab w:val="clear" w:pos="8306"/>
      </w:tabs>
      <w:ind w:right="29" w:rightChars="14"/>
      <w:rPr>
        <w:rFonts w:ascii="幼圆" w:eastAsia="幼圆"/>
        <w:color w:val="808080"/>
        <w:sz w:val="15"/>
        <w:szCs w:val="15"/>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r>
      <w:pict>
        <v:shape id="PowerPlusWaterMarkObject1" o:spid="_x0000_s2049" o:spt="136" type="#_x0000_t136" style="position:absolute;left:0pt;margin-left:132.75pt;margin-top:58.15pt;height:8.95pt;width:128.5pt;mso-position-horizontal-relative:page;mso-position-vertical-relative:page;z-index:251659264;mso-width-relative:page;mso-height-relative:page;" fillcolor="#969696" filled="t" stroked="f" coordsize="21600,21600">
          <v:path/>
          <v:fill on="t" focussize="0,0"/>
          <v:stroke on="f"/>
          <v:imagedata o:title=""/>
          <o:lock v:ext="edit" text="f"/>
          <v:textpath on="t" fitshape="t" fitpath="t" trim="t" xscale="f" string="湖南经典房地产评估咨询有限公司" style="font-family:幼圆;font-size:8pt;v-text-align:center;"/>
        </v:shape>
      </w:pict>
    </w:r>
    <w:r>
      <w:drawing>
        <wp:anchor distT="0" distB="0" distL="114300" distR="114300" simplePos="0" relativeHeight="251658240" behindDoc="0" locked="0" layoutInCell="1" allowOverlap="1">
          <wp:simplePos x="0" y="0"/>
          <wp:positionH relativeFrom="page">
            <wp:posOffset>1184275</wp:posOffset>
          </wp:positionH>
          <wp:positionV relativeFrom="page">
            <wp:posOffset>524510</wp:posOffset>
          </wp:positionV>
          <wp:extent cx="537210" cy="498475"/>
          <wp:effectExtent l="0" t="0" r="15240" b="15875"/>
          <wp:wrapNone/>
          <wp:docPr id="26" name="图片 1" descr="徽标ok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徽标ok1 副本"/>
                  <pic:cNvPicPr>
                    <a:picLocks noChangeAspect="1"/>
                  </pic:cNvPicPr>
                </pic:nvPicPr>
                <pic:blipFill>
                  <a:blip r:embed="rId1">
                    <a:lum bright="28000" contrast="6000"/>
                  </a:blip>
                  <a:stretch>
                    <a:fillRect/>
                  </a:stretch>
                </pic:blipFill>
                <pic:spPr>
                  <a:xfrm>
                    <a:off x="0" y="0"/>
                    <a:ext cx="537210" cy="49847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pPr>
    <w:r>
      <w:pict>
        <v:shape id="_x0000_s2051" o:spid="_x0000_s2051" o:spt="136" type="#_x0000_t136" style="position:absolute;left:0pt;margin-left:133.5pt;margin-top:55.9pt;height:8.95pt;width:128.5pt;mso-position-horizontal-relative:page;mso-position-vertical-relative:page;z-index:251661312;mso-width-relative:page;mso-height-relative:page;" fillcolor="#969696" filled="t" stroked="f" coordsize="21600,21600">
          <v:path/>
          <v:fill on="t" focussize="0,0"/>
          <v:stroke on="f"/>
          <v:imagedata o:title=""/>
          <o:lock v:ext="edit" text="f"/>
          <v:textpath on="t" fitshape="t" fitpath="t" trim="t" xscale="f" string="湖南经典房地产评估咨询有限公司" style="font-family:幼圆;font-size:8pt;v-text-align:center;"/>
        </v:shape>
      </w:pict>
    </w:r>
    <w:r>
      <w:drawing>
        <wp:anchor distT="0" distB="0" distL="114300" distR="114300" simplePos="0" relativeHeight="251660288" behindDoc="0" locked="0" layoutInCell="1" allowOverlap="1">
          <wp:simplePos x="0" y="0"/>
          <wp:positionH relativeFrom="page">
            <wp:posOffset>1165225</wp:posOffset>
          </wp:positionH>
          <wp:positionV relativeFrom="page">
            <wp:posOffset>495935</wp:posOffset>
          </wp:positionV>
          <wp:extent cx="537210" cy="498475"/>
          <wp:effectExtent l="0" t="0" r="15240" b="15875"/>
          <wp:wrapNone/>
          <wp:docPr id="27" name="图片 4" descr="徽标ok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徽标ok1 副本"/>
                  <pic:cNvPicPr>
                    <a:picLocks noChangeAspect="1"/>
                  </pic:cNvPicPr>
                </pic:nvPicPr>
                <pic:blipFill>
                  <a:blip r:embed="rId1">
                    <a:lum bright="28000" contrast="6000"/>
                  </a:blip>
                  <a:stretch>
                    <a:fillRect/>
                  </a:stretch>
                </pic:blipFill>
                <pic:spPr>
                  <a:xfrm>
                    <a:off x="0" y="0"/>
                    <a:ext cx="537210" cy="498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9288A8"/>
    <w:multiLevelType w:val="singleLevel"/>
    <w:tmpl w:val="B99288A8"/>
    <w:lvl w:ilvl="0" w:tentative="0">
      <w:start w:val="1"/>
      <w:numFmt w:val="chineseCounting"/>
      <w:suff w:val="nothing"/>
      <w:lvlText w:val="%1、"/>
      <w:lvlJc w:val="left"/>
      <w:rPr>
        <w:rFonts w:hint="eastAsia" w:cs="Times New Roman"/>
      </w:rPr>
    </w:lvl>
  </w:abstractNum>
  <w:abstractNum w:abstractNumId="1">
    <w:nsid w:val="CFBA04F9"/>
    <w:multiLevelType w:val="singleLevel"/>
    <w:tmpl w:val="CFBA04F9"/>
    <w:lvl w:ilvl="0" w:tentative="0">
      <w:start w:val="2"/>
      <w:numFmt w:val="decimal"/>
      <w:suff w:val="nothing"/>
      <w:lvlText w:val="（%1）"/>
      <w:lvlJc w:val="left"/>
      <w:rPr>
        <w:rFonts w:cs="Times New Roman"/>
      </w:rPr>
    </w:lvl>
  </w:abstractNum>
  <w:abstractNum w:abstractNumId="2">
    <w:nsid w:val="E6D1E714"/>
    <w:multiLevelType w:val="singleLevel"/>
    <w:tmpl w:val="E6D1E714"/>
    <w:lvl w:ilvl="0" w:tentative="0">
      <w:start w:val="2"/>
      <w:numFmt w:val="decimal"/>
      <w:suff w:val="nothing"/>
      <w:lvlText w:val="%1、"/>
      <w:lvlJc w:val="left"/>
    </w:lvl>
  </w:abstractNum>
  <w:abstractNum w:abstractNumId="3">
    <w:nsid w:val="313F6952"/>
    <w:multiLevelType w:val="multilevel"/>
    <w:tmpl w:val="313F6952"/>
    <w:lvl w:ilvl="0" w:tentative="0">
      <w:start w:val="1"/>
      <w:numFmt w:val="chineseCountingThousand"/>
      <w:pStyle w:val="26"/>
      <w:lvlText w:val="%1."/>
      <w:lvlJc w:val="left"/>
      <w:pPr>
        <w:tabs>
          <w:tab w:val="left" w:pos="562"/>
        </w:tabs>
        <w:ind w:left="562" w:hanging="420"/>
      </w:pPr>
      <w:rPr>
        <w:rFonts w:hint="eastAsia" w:cs="Times New Roman"/>
        <w:b/>
        <w:bCs/>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566A5806"/>
    <w:multiLevelType w:val="singleLevel"/>
    <w:tmpl w:val="566A5806"/>
    <w:lvl w:ilvl="0" w:tentative="0">
      <w:start w:val="1"/>
      <w:numFmt w:val="chineseCounting"/>
      <w:suff w:val="nothing"/>
      <w:lvlText w:val="%1、"/>
      <w:lvlJc w:val="left"/>
      <w:rPr>
        <w:rFonts w:cs="Times New Roman"/>
      </w:rPr>
    </w:lvl>
  </w:abstractNum>
  <w:abstractNum w:abstractNumId="5">
    <w:nsid w:val="610A1554"/>
    <w:multiLevelType w:val="multilevel"/>
    <w:tmpl w:val="610A1554"/>
    <w:lvl w:ilvl="0" w:tentative="0">
      <w:start w:val="1"/>
      <w:numFmt w:val="decimal"/>
      <w:lvlText w:val="%1."/>
      <w:lvlJc w:val="left"/>
      <w:pPr>
        <w:tabs>
          <w:tab w:val="left" w:pos="1460"/>
        </w:tabs>
        <w:ind w:left="1460" w:hanging="420"/>
      </w:pPr>
      <w:rPr>
        <w:rFonts w:hint="eastAsia" w:cs="Times New Roman"/>
      </w:rPr>
    </w:lvl>
    <w:lvl w:ilvl="1" w:tentative="0">
      <w:start w:val="1"/>
      <w:numFmt w:val="decimal"/>
      <w:lvlText w:val="%2."/>
      <w:lvlJc w:val="left"/>
      <w:pPr>
        <w:tabs>
          <w:tab w:val="left" w:pos="1360"/>
        </w:tabs>
        <w:ind w:left="1360" w:hanging="420"/>
      </w:pPr>
      <w:rPr>
        <w:rFonts w:hint="eastAsia" w:cs="Times New Roman"/>
      </w:rPr>
    </w:lvl>
    <w:lvl w:ilvl="2" w:tentative="0">
      <w:start w:val="1"/>
      <w:numFmt w:val="lowerRoman"/>
      <w:lvlText w:val="%3."/>
      <w:lvlJc w:val="right"/>
      <w:pPr>
        <w:tabs>
          <w:tab w:val="left" w:pos="1780"/>
        </w:tabs>
        <w:ind w:left="1780" w:hanging="420"/>
      </w:pPr>
      <w:rPr>
        <w:rFonts w:cs="Times New Roman"/>
      </w:rPr>
    </w:lvl>
    <w:lvl w:ilvl="3" w:tentative="0">
      <w:start w:val="1"/>
      <w:numFmt w:val="decimal"/>
      <w:lvlText w:val="%4."/>
      <w:lvlJc w:val="left"/>
      <w:pPr>
        <w:tabs>
          <w:tab w:val="left" w:pos="2200"/>
        </w:tabs>
        <w:ind w:left="2200" w:hanging="420"/>
      </w:pPr>
      <w:rPr>
        <w:rFonts w:cs="Times New Roman"/>
      </w:rPr>
    </w:lvl>
    <w:lvl w:ilvl="4" w:tentative="0">
      <w:start w:val="1"/>
      <w:numFmt w:val="lowerLetter"/>
      <w:lvlText w:val="%5)"/>
      <w:lvlJc w:val="left"/>
      <w:pPr>
        <w:tabs>
          <w:tab w:val="left" w:pos="2620"/>
        </w:tabs>
        <w:ind w:left="2620" w:hanging="420"/>
      </w:pPr>
      <w:rPr>
        <w:rFonts w:cs="Times New Roman"/>
      </w:rPr>
    </w:lvl>
    <w:lvl w:ilvl="5" w:tentative="0">
      <w:start w:val="1"/>
      <w:numFmt w:val="lowerRoman"/>
      <w:lvlText w:val="%6."/>
      <w:lvlJc w:val="right"/>
      <w:pPr>
        <w:tabs>
          <w:tab w:val="left" w:pos="3040"/>
        </w:tabs>
        <w:ind w:left="3040" w:hanging="420"/>
      </w:pPr>
      <w:rPr>
        <w:rFonts w:cs="Times New Roman"/>
      </w:rPr>
    </w:lvl>
    <w:lvl w:ilvl="6" w:tentative="0">
      <w:start w:val="1"/>
      <w:numFmt w:val="decimal"/>
      <w:lvlText w:val="%7."/>
      <w:lvlJc w:val="left"/>
      <w:pPr>
        <w:tabs>
          <w:tab w:val="left" w:pos="3460"/>
        </w:tabs>
        <w:ind w:left="3460" w:hanging="420"/>
      </w:pPr>
      <w:rPr>
        <w:rFonts w:cs="Times New Roman"/>
      </w:rPr>
    </w:lvl>
    <w:lvl w:ilvl="7" w:tentative="0">
      <w:start w:val="1"/>
      <w:numFmt w:val="lowerLetter"/>
      <w:lvlText w:val="%8)"/>
      <w:lvlJc w:val="left"/>
      <w:pPr>
        <w:tabs>
          <w:tab w:val="left" w:pos="3880"/>
        </w:tabs>
        <w:ind w:left="3880" w:hanging="420"/>
      </w:pPr>
      <w:rPr>
        <w:rFonts w:cs="Times New Roman"/>
      </w:rPr>
    </w:lvl>
    <w:lvl w:ilvl="8" w:tentative="0">
      <w:start w:val="1"/>
      <w:numFmt w:val="lowerRoman"/>
      <w:lvlText w:val="%9."/>
      <w:lvlJc w:val="right"/>
      <w:pPr>
        <w:tabs>
          <w:tab w:val="left" w:pos="4300"/>
        </w:tabs>
        <w:ind w:left="4300" w:hanging="420"/>
      </w:pPr>
      <w:rPr>
        <w:rFonts w:cs="Times New Roman"/>
      </w:rPr>
    </w:lvl>
  </w:abstractNum>
  <w:abstractNum w:abstractNumId="6">
    <w:nsid w:val="70827890"/>
    <w:multiLevelType w:val="multilevel"/>
    <w:tmpl w:val="70827890"/>
    <w:lvl w:ilvl="0" w:tentative="0">
      <w:start w:val="1"/>
      <w:numFmt w:val="chineseCountingThousand"/>
      <w:pStyle w:val="17"/>
      <w:lvlText w:val="%1."/>
      <w:lvlJc w:val="left"/>
      <w:pPr>
        <w:tabs>
          <w:tab w:val="left" w:pos="1260"/>
        </w:tabs>
        <w:ind w:left="1260" w:hanging="420"/>
      </w:pPr>
      <w:rPr>
        <w:rFonts w:hint="eastAsia" w:eastAsia="宋体" w:cs="Times New Roman"/>
      </w:rPr>
    </w:lvl>
    <w:lvl w:ilvl="1" w:tentative="0">
      <w:start w:val="1"/>
      <w:numFmt w:val="lowerLetter"/>
      <w:lvlText w:val="%2)"/>
      <w:lvlJc w:val="left"/>
      <w:pPr>
        <w:tabs>
          <w:tab w:val="left" w:pos="1680"/>
        </w:tabs>
        <w:ind w:left="1680" w:hanging="420"/>
      </w:pPr>
      <w:rPr>
        <w:rFonts w:cs="Times New Roman"/>
      </w:rPr>
    </w:lvl>
    <w:lvl w:ilvl="2" w:tentative="0">
      <w:start w:val="1"/>
      <w:numFmt w:val="lowerRoman"/>
      <w:lvlText w:val="%3."/>
      <w:lvlJc w:val="right"/>
      <w:pPr>
        <w:tabs>
          <w:tab w:val="left" w:pos="2100"/>
        </w:tabs>
        <w:ind w:left="2100" w:hanging="420"/>
      </w:pPr>
      <w:rPr>
        <w:rFonts w:cs="Times New Roman"/>
      </w:rPr>
    </w:lvl>
    <w:lvl w:ilvl="3" w:tentative="0">
      <w:start w:val="1"/>
      <w:numFmt w:val="decimal"/>
      <w:lvlText w:val="%4."/>
      <w:lvlJc w:val="left"/>
      <w:pPr>
        <w:tabs>
          <w:tab w:val="left" w:pos="2520"/>
        </w:tabs>
        <w:ind w:left="2520" w:hanging="420"/>
      </w:pPr>
      <w:rPr>
        <w:rFonts w:cs="Times New Roman"/>
      </w:rPr>
    </w:lvl>
    <w:lvl w:ilvl="4" w:tentative="0">
      <w:start w:val="1"/>
      <w:numFmt w:val="lowerLetter"/>
      <w:lvlText w:val="%5)"/>
      <w:lvlJc w:val="left"/>
      <w:pPr>
        <w:tabs>
          <w:tab w:val="left" w:pos="2940"/>
        </w:tabs>
        <w:ind w:left="2940" w:hanging="420"/>
      </w:pPr>
      <w:rPr>
        <w:rFonts w:cs="Times New Roman"/>
      </w:rPr>
    </w:lvl>
    <w:lvl w:ilvl="5" w:tentative="0">
      <w:start w:val="1"/>
      <w:numFmt w:val="lowerRoman"/>
      <w:lvlText w:val="%6."/>
      <w:lvlJc w:val="right"/>
      <w:pPr>
        <w:tabs>
          <w:tab w:val="left" w:pos="3360"/>
        </w:tabs>
        <w:ind w:left="3360" w:hanging="420"/>
      </w:pPr>
      <w:rPr>
        <w:rFonts w:cs="Times New Roman"/>
      </w:rPr>
    </w:lvl>
    <w:lvl w:ilvl="6" w:tentative="0">
      <w:start w:val="1"/>
      <w:numFmt w:val="decimal"/>
      <w:lvlText w:val="%7."/>
      <w:lvlJc w:val="left"/>
      <w:pPr>
        <w:tabs>
          <w:tab w:val="left" w:pos="3780"/>
        </w:tabs>
        <w:ind w:left="3780" w:hanging="420"/>
      </w:pPr>
      <w:rPr>
        <w:rFonts w:cs="Times New Roman"/>
      </w:rPr>
    </w:lvl>
    <w:lvl w:ilvl="7" w:tentative="0">
      <w:start w:val="1"/>
      <w:numFmt w:val="lowerLetter"/>
      <w:lvlText w:val="%8)"/>
      <w:lvlJc w:val="left"/>
      <w:pPr>
        <w:tabs>
          <w:tab w:val="left" w:pos="4200"/>
        </w:tabs>
        <w:ind w:left="4200" w:hanging="420"/>
      </w:pPr>
      <w:rPr>
        <w:rFonts w:cs="Times New Roman"/>
      </w:rPr>
    </w:lvl>
    <w:lvl w:ilvl="8" w:tentative="0">
      <w:start w:val="1"/>
      <w:numFmt w:val="lowerRoman"/>
      <w:lvlText w:val="%9."/>
      <w:lvlJc w:val="right"/>
      <w:pPr>
        <w:tabs>
          <w:tab w:val="left" w:pos="4620"/>
        </w:tabs>
        <w:ind w:left="4620" w:hanging="420"/>
      </w:pPr>
      <w:rPr>
        <w:rFonts w:cs="Times New Roman"/>
      </w:rPr>
    </w:lvl>
  </w:abstractNum>
  <w:abstractNum w:abstractNumId="7">
    <w:nsid w:val="7B234628"/>
    <w:multiLevelType w:val="multilevel"/>
    <w:tmpl w:val="7B234628"/>
    <w:lvl w:ilvl="0" w:tentative="0">
      <w:start w:val="1"/>
      <w:numFmt w:val="decimal"/>
      <w:lvlText w:val="%1."/>
      <w:lvlJc w:val="left"/>
      <w:pPr>
        <w:tabs>
          <w:tab w:val="left" w:pos="846"/>
        </w:tabs>
        <w:ind w:left="846"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7B234629"/>
    <w:multiLevelType w:val="multilevel"/>
    <w:tmpl w:val="7B234629"/>
    <w:lvl w:ilvl="0" w:tentative="0">
      <w:start w:val="1"/>
      <w:numFmt w:val="chineseCountingThousand"/>
      <w:suff w:val="nothing"/>
      <w:lvlText w:val="%1、"/>
      <w:lvlJc w:val="left"/>
      <w:pPr>
        <w:ind w:left="1271" w:hanging="420"/>
      </w:pPr>
      <w:rPr>
        <w:rFonts w:hint="eastAsia" w:cs="Times New Roman"/>
      </w:rPr>
    </w:lvl>
    <w:lvl w:ilvl="1" w:tentative="0">
      <w:start w:val="1"/>
      <w:numFmt w:val="lowerLetter"/>
      <w:lvlText w:val="%2)"/>
      <w:lvlJc w:val="left"/>
      <w:pPr>
        <w:ind w:left="1266" w:hanging="420"/>
      </w:pPr>
      <w:rPr>
        <w:rFonts w:hint="eastAsia" w:cs="Times New Roman"/>
      </w:rPr>
    </w:lvl>
    <w:lvl w:ilvl="2" w:tentative="0">
      <w:start w:val="1"/>
      <w:numFmt w:val="lowerRoman"/>
      <w:lvlText w:val="%3."/>
      <w:lvlJc w:val="right"/>
      <w:pPr>
        <w:ind w:left="1686" w:hanging="420"/>
      </w:pPr>
      <w:rPr>
        <w:rFonts w:hint="eastAsia" w:cs="Times New Roman"/>
      </w:rPr>
    </w:lvl>
    <w:lvl w:ilvl="3" w:tentative="0">
      <w:start w:val="1"/>
      <w:numFmt w:val="decimal"/>
      <w:lvlText w:val="%4."/>
      <w:lvlJc w:val="left"/>
      <w:pPr>
        <w:ind w:left="2106" w:hanging="420"/>
      </w:pPr>
      <w:rPr>
        <w:rFonts w:hint="eastAsia" w:cs="Times New Roman"/>
      </w:rPr>
    </w:lvl>
    <w:lvl w:ilvl="4" w:tentative="0">
      <w:start w:val="1"/>
      <w:numFmt w:val="lowerLetter"/>
      <w:lvlText w:val="%5)"/>
      <w:lvlJc w:val="left"/>
      <w:pPr>
        <w:ind w:left="2526" w:hanging="420"/>
      </w:pPr>
      <w:rPr>
        <w:rFonts w:hint="eastAsia" w:cs="Times New Roman"/>
      </w:rPr>
    </w:lvl>
    <w:lvl w:ilvl="5" w:tentative="0">
      <w:start w:val="1"/>
      <w:numFmt w:val="lowerRoman"/>
      <w:lvlText w:val="%6."/>
      <w:lvlJc w:val="right"/>
      <w:pPr>
        <w:ind w:left="2946" w:hanging="420"/>
      </w:pPr>
      <w:rPr>
        <w:rFonts w:hint="eastAsia" w:cs="Times New Roman"/>
      </w:rPr>
    </w:lvl>
    <w:lvl w:ilvl="6" w:tentative="0">
      <w:start w:val="1"/>
      <w:numFmt w:val="decimal"/>
      <w:lvlText w:val="%7."/>
      <w:lvlJc w:val="left"/>
      <w:pPr>
        <w:ind w:left="3366" w:hanging="420"/>
      </w:pPr>
      <w:rPr>
        <w:rFonts w:hint="eastAsia" w:cs="Times New Roman"/>
      </w:rPr>
    </w:lvl>
    <w:lvl w:ilvl="7" w:tentative="0">
      <w:start w:val="1"/>
      <w:numFmt w:val="lowerLetter"/>
      <w:lvlText w:val="%8)"/>
      <w:lvlJc w:val="left"/>
      <w:pPr>
        <w:ind w:left="3786" w:hanging="420"/>
      </w:pPr>
      <w:rPr>
        <w:rFonts w:hint="eastAsia" w:cs="Times New Roman"/>
      </w:rPr>
    </w:lvl>
    <w:lvl w:ilvl="8" w:tentative="0">
      <w:start w:val="1"/>
      <w:numFmt w:val="lowerRoman"/>
      <w:lvlText w:val="%9."/>
      <w:lvlJc w:val="right"/>
      <w:pPr>
        <w:ind w:left="4206" w:hanging="420"/>
      </w:pPr>
      <w:rPr>
        <w:rFonts w:hint="eastAsia" w:cs="Times New Roman"/>
      </w:rPr>
    </w:lvl>
  </w:abstractNum>
  <w:num w:numId="1">
    <w:abstractNumId w:val="6"/>
  </w:num>
  <w:num w:numId="2">
    <w:abstractNumId w:val="3"/>
  </w:num>
  <w:num w:numId="3">
    <w:abstractNumId w:val="4"/>
  </w:num>
  <w:num w:numId="4">
    <w:abstractNumId w:val="5"/>
  </w:num>
  <w:num w:numId="5">
    <w:abstractNumId w:val="7"/>
  </w:num>
  <w:num w:numId="6">
    <w:abstractNumId w:val="0"/>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AD"/>
    <w:rsid w:val="00006BB8"/>
    <w:rsid w:val="00010143"/>
    <w:rsid w:val="0002286E"/>
    <w:rsid w:val="000270C5"/>
    <w:rsid w:val="00030FB6"/>
    <w:rsid w:val="000316B1"/>
    <w:rsid w:val="00035D27"/>
    <w:rsid w:val="00036F1A"/>
    <w:rsid w:val="0004088D"/>
    <w:rsid w:val="00042D7C"/>
    <w:rsid w:val="00057072"/>
    <w:rsid w:val="000602B4"/>
    <w:rsid w:val="00060DFB"/>
    <w:rsid w:val="000672D3"/>
    <w:rsid w:val="00070358"/>
    <w:rsid w:val="00072738"/>
    <w:rsid w:val="0007565C"/>
    <w:rsid w:val="00087E70"/>
    <w:rsid w:val="00095735"/>
    <w:rsid w:val="00095E75"/>
    <w:rsid w:val="00096A35"/>
    <w:rsid w:val="000A0EB6"/>
    <w:rsid w:val="000A49BF"/>
    <w:rsid w:val="000A74DF"/>
    <w:rsid w:val="000A7FB6"/>
    <w:rsid w:val="000C0C63"/>
    <w:rsid w:val="000C1A03"/>
    <w:rsid w:val="000D226D"/>
    <w:rsid w:val="000F144B"/>
    <w:rsid w:val="000F4B1A"/>
    <w:rsid w:val="000F56F2"/>
    <w:rsid w:val="0010392F"/>
    <w:rsid w:val="001136E8"/>
    <w:rsid w:val="0012286E"/>
    <w:rsid w:val="00145A6A"/>
    <w:rsid w:val="00145EF0"/>
    <w:rsid w:val="001479E8"/>
    <w:rsid w:val="00147A69"/>
    <w:rsid w:val="00155E6B"/>
    <w:rsid w:val="00156B40"/>
    <w:rsid w:val="00162F08"/>
    <w:rsid w:val="00166CA6"/>
    <w:rsid w:val="00167CB9"/>
    <w:rsid w:val="001718B4"/>
    <w:rsid w:val="0017442C"/>
    <w:rsid w:val="001774A3"/>
    <w:rsid w:val="00187CF9"/>
    <w:rsid w:val="00187EE4"/>
    <w:rsid w:val="00190443"/>
    <w:rsid w:val="00195A81"/>
    <w:rsid w:val="001A1D21"/>
    <w:rsid w:val="001A2919"/>
    <w:rsid w:val="001B01ED"/>
    <w:rsid w:val="001B0D7E"/>
    <w:rsid w:val="001B4EA9"/>
    <w:rsid w:val="001C55EE"/>
    <w:rsid w:val="001D11E4"/>
    <w:rsid w:val="001D7E03"/>
    <w:rsid w:val="001E4045"/>
    <w:rsid w:val="001E47D5"/>
    <w:rsid w:val="001E5C53"/>
    <w:rsid w:val="001F785D"/>
    <w:rsid w:val="00201672"/>
    <w:rsid w:val="0020247E"/>
    <w:rsid w:val="00202504"/>
    <w:rsid w:val="0020502B"/>
    <w:rsid w:val="00205E54"/>
    <w:rsid w:val="00206BB9"/>
    <w:rsid w:val="00210737"/>
    <w:rsid w:val="00213C43"/>
    <w:rsid w:val="00214512"/>
    <w:rsid w:val="00217FAC"/>
    <w:rsid w:val="002208E7"/>
    <w:rsid w:val="00221A78"/>
    <w:rsid w:val="00233F0C"/>
    <w:rsid w:val="00235F32"/>
    <w:rsid w:val="00240854"/>
    <w:rsid w:val="002520F2"/>
    <w:rsid w:val="002578D2"/>
    <w:rsid w:val="00260446"/>
    <w:rsid w:val="00261F83"/>
    <w:rsid w:val="0026207B"/>
    <w:rsid w:val="00266A96"/>
    <w:rsid w:val="00273EE0"/>
    <w:rsid w:val="002800CC"/>
    <w:rsid w:val="002802D2"/>
    <w:rsid w:val="0029182F"/>
    <w:rsid w:val="00292061"/>
    <w:rsid w:val="0029290D"/>
    <w:rsid w:val="00295CDF"/>
    <w:rsid w:val="002A3607"/>
    <w:rsid w:val="002A48D4"/>
    <w:rsid w:val="002A519A"/>
    <w:rsid w:val="002B3189"/>
    <w:rsid w:val="002B4EC3"/>
    <w:rsid w:val="002C08FE"/>
    <w:rsid w:val="002C2D47"/>
    <w:rsid w:val="002C310D"/>
    <w:rsid w:val="002C7820"/>
    <w:rsid w:val="002C7E5E"/>
    <w:rsid w:val="002D40D2"/>
    <w:rsid w:val="002D6457"/>
    <w:rsid w:val="002E29B5"/>
    <w:rsid w:val="002E75E6"/>
    <w:rsid w:val="002F1167"/>
    <w:rsid w:val="002F1D55"/>
    <w:rsid w:val="002F45B2"/>
    <w:rsid w:val="002F4F3E"/>
    <w:rsid w:val="002F712D"/>
    <w:rsid w:val="003031BB"/>
    <w:rsid w:val="00306135"/>
    <w:rsid w:val="00307797"/>
    <w:rsid w:val="003125C2"/>
    <w:rsid w:val="00315DA5"/>
    <w:rsid w:val="00324B28"/>
    <w:rsid w:val="003274FA"/>
    <w:rsid w:val="003349D2"/>
    <w:rsid w:val="00334C28"/>
    <w:rsid w:val="003369ED"/>
    <w:rsid w:val="00342EA1"/>
    <w:rsid w:val="00343E36"/>
    <w:rsid w:val="003448EE"/>
    <w:rsid w:val="0034535A"/>
    <w:rsid w:val="00350ADD"/>
    <w:rsid w:val="003530C8"/>
    <w:rsid w:val="00356FEA"/>
    <w:rsid w:val="003615AE"/>
    <w:rsid w:val="003627CE"/>
    <w:rsid w:val="00364964"/>
    <w:rsid w:val="00370C53"/>
    <w:rsid w:val="003736BE"/>
    <w:rsid w:val="00380ED2"/>
    <w:rsid w:val="00384695"/>
    <w:rsid w:val="00386229"/>
    <w:rsid w:val="003912CD"/>
    <w:rsid w:val="003938F5"/>
    <w:rsid w:val="003944FA"/>
    <w:rsid w:val="00394A53"/>
    <w:rsid w:val="003A5080"/>
    <w:rsid w:val="003A6D72"/>
    <w:rsid w:val="003A7046"/>
    <w:rsid w:val="003B081A"/>
    <w:rsid w:val="003B508E"/>
    <w:rsid w:val="003B6B2A"/>
    <w:rsid w:val="003C104F"/>
    <w:rsid w:val="003C2CED"/>
    <w:rsid w:val="003C5F4F"/>
    <w:rsid w:val="003D0A7B"/>
    <w:rsid w:val="003E2146"/>
    <w:rsid w:val="003E77E2"/>
    <w:rsid w:val="003E7F0D"/>
    <w:rsid w:val="003F0E1D"/>
    <w:rsid w:val="003F31BF"/>
    <w:rsid w:val="003F3319"/>
    <w:rsid w:val="003F3BBE"/>
    <w:rsid w:val="003F50C8"/>
    <w:rsid w:val="0041537A"/>
    <w:rsid w:val="00417960"/>
    <w:rsid w:val="004223F5"/>
    <w:rsid w:val="00425B12"/>
    <w:rsid w:val="004303AB"/>
    <w:rsid w:val="004344CB"/>
    <w:rsid w:val="00436C18"/>
    <w:rsid w:val="004424A6"/>
    <w:rsid w:val="0044546F"/>
    <w:rsid w:val="004474D1"/>
    <w:rsid w:val="0045137E"/>
    <w:rsid w:val="00451E53"/>
    <w:rsid w:val="004533C0"/>
    <w:rsid w:val="00455F72"/>
    <w:rsid w:val="00457D3B"/>
    <w:rsid w:val="00460DFE"/>
    <w:rsid w:val="00462B3A"/>
    <w:rsid w:val="004704AE"/>
    <w:rsid w:val="0047174E"/>
    <w:rsid w:val="00480F1F"/>
    <w:rsid w:val="004925DB"/>
    <w:rsid w:val="00494ABC"/>
    <w:rsid w:val="00495E05"/>
    <w:rsid w:val="004A030E"/>
    <w:rsid w:val="004A1A80"/>
    <w:rsid w:val="004A475E"/>
    <w:rsid w:val="004A6949"/>
    <w:rsid w:val="004B6FD5"/>
    <w:rsid w:val="004C3936"/>
    <w:rsid w:val="004C6016"/>
    <w:rsid w:val="004D2542"/>
    <w:rsid w:val="004D255C"/>
    <w:rsid w:val="004E2307"/>
    <w:rsid w:val="004E3C2E"/>
    <w:rsid w:val="004F158D"/>
    <w:rsid w:val="004F1DDB"/>
    <w:rsid w:val="004F6C98"/>
    <w:rsid w:val="00500432"/>
    <w:rsid w:val="0050720E"/>
    <w:rsid w:val="00527C4C"/>
    <w:rsid w:val="005374DB"/>
    <w:rsid w:val="0054052F"/>
    <w:rsid w:val="00540DF6"/>
    <w:rsid w:val="0054271B"/>
    <w:rsid w:val="00544A6D"/>
    <w:rsid w:val="00546BA2"/>
    <w:rsid w:val="00551553"/>
    <w:rsid w:val="005629B9"/>
    <w:rsid w:val="00564D41"/>
    <w:rsid w:val="00565AEF"/>
    <w:rsid w:val="0056684C"/>
    <w:rsid w:val="00566AE5"/>
    <w:rsid w:val="00567C52"/>
    <w:rsid w:val="0057093C"/>
    <w:rsid w:val="0057332A"/>
    <w:rsid w:val="005767B9"/>
    <w:rsid w:val="00584727"/>
    <w:rsid w:val="005861F9"/>
    <w:rsid w:val="00587A49"/>
    <w:rsid w:val="00595E5B"/>
    <w:rsid w:val="00596E03"/>
    <w:rsid w:val="005973DB"/>
    <w:rsid w:val="005A3F5B"/>
    <w:rsid w:val="005B1284"/>
    <w:rsid w:val="005B2AE8"/>
    <w:rsid w:val="005B4A4F"/>
    <w:rsid w:val="005C74CC"/>
    <w:rsid w:val="005E34C1"/>
    <w:rsid w:val="005E3558"/>
    <w:rsid w:val="005F064D"/>
    <w:rsid w:val="005F2159"/>
    <w:rsid w:val="005F2C10"/>
    <w:rsid w:val="00602B8A"/>
    <w:rsid w:val="00612FFF"/>
    <w:rsid w:val="00613167"/>
    <w:rsid w:val="006131D6"/>
    <w:rsid w:val="0061444A"/>
    <w:rsid w:val="00615365"/>
    <w:rsid w:val="00620EE4"/>
    <w:rsid w:val="00624F33"/>
    <w:rsid w:val="00650A6B"/>
    <w:rsid w:val="00654175"/>
    <w:rsid w:val="00654EBD"/>
    <w:rsid w:val="00657086"/>
    <w:rsid w:val="006575CC"/>
    <w:rsid w:val="00660404"/>
    <w:rsid w:val="00662E03"/>
    <w:rsid w:val="00663EF2"/>
    <w:rsid w:val="006641C9"/>
    <w:rsid w:val="00670179"/>
    <w:rsid w:val="0067216C"/>
    <w:rsid w:val="00674952"/>
    <w:rsid w:val="006753C1"/>
    <w:rsid w:val="00677F7D"/>
    <w:rsid w:val="0068226F"/>
    <w:rsid w:val="00684414"/>
    <w:rsid w:val="00684A9F"/>
    <w:rsid w:val="00690AA6"/>
    <w:rsid w:val="006937E0"/>
    <w:rsid w:val="006A3D7D"/>
    <w:rsid w:val="006A4B6C"/>
    <w:rsid w:val="006B0CDA"/>
    <w:rsid w:val="006C2F02"/>
    <w:rsid w:val="006C50B3"/>
    <w:rsid w:val="006C5CE8"/>
    <w:rsid w:val="006C6058"/>
    <w:rsid w:val="006C69F7"/>
    <w:rsid w:val="006D0926"/>
    <w:rsid w:val="006D6B25"/>
    <w:rsid w:val="006D7E82"/>
    <w:rsid w:val="006E3374"/>
    <w:rsid w:val="006E756C"/>
    <w:rsid w:val="006E7702"/>
    <w:rsid w:val="006F3B70"/>
    <w:rsid w:val="00705049"/>
    <w:rsid w:val="00723908"/>
    <w:rsid w:val="00724A2E"/>
    <w:rsid w:val="00731825"/>
    <w:rsid w:val="0073559A"/>
    <w:rsid w:val="0074656A"/>
    <w:rsid w:val="00752773"/>
    <w:rsid w:val="00752D64"/>
    <w:rsid w:val="00753867"/>
    <w:rsid w:val="0075507B"/>
    <w:rsid w:val="007637FB"/>
    <w:rsid w:val="00766AF2"/>
    <w:rsid w:val="007742AD"/>
    <w:rsid w:val="00777040"/>
    <w:rsid w:val="00785FFD"/>
    <w:rsid w:val="0079474B"/>
    <w:rsid w:val="00796481"/>
    <w:rsid w:val="007966E8"/>
    <w:rsid w:val="007A6F0A"/>
    <w:rsid w:val="007B1AFF"/>
    <w:rsid w:val="007B46A8"/>
    <w:rsid w:val="007B46AD"/>
    <w:rsid w:val="007B6263"/>
    <w:rsid w:val="007B7C40"/>
    <w:rsid w:val="007D127A"/>
    <w:rsid w:val="007D1945"/>
    <w:rsid w:val="007D586A"/>
    <w:rsid w:val="007D5AED"/>
    <w:rsid w:val="007D6305"/>
    <w:rsid w:val="007E10C2"/>
    <w:rsid w:val="007E17D7"/>
    <w:rsid w:val="007E66A0"/>
    <w:rsid w:val="007F6202"/>
    <w:rsid w:val="00803E64"/>
    <w:rsid w:val="0080610A"/>
    <w:rsid w:val="008067FA"/>
    <w:rsid w:val="00816078"/>
    <w:rsid w:val="00822086"/>
    <w:rsid w:val="00822ACD"/>
    <w:rsid w:val="00822D95"/>
    <w:rsid w:val="008238AF"/>
    <w:rsid w:val="00823937"/>
    <w:rsid w:val="00825DEA"/>
    <w:rsid w:val="0083033B"/>
    <w:rsid w:val="00835B27"/>
    <w:rsid w:val="008364DD"/>
    <w:rsid w:val="0083787C"/>
    <w:rsid w:val="0085469B"/>
    <w:rsid w:val="00861558"/>
    <w:rsid w:val="0086241B"/>
    <w:rsid w:val="00863D04"/>
    <w:rsid w:val="00866594"/>
    <w:rsid w:val="0086692F"/>
    <w:rsid w:val="00881D32"/>
    <w:rsid w:val="00881DF2"/>
    <w:rsid w:val="008822D7"/>
    <w:rsid w:val="00895D8D"/>
    <w:rsid w:val="008A2961"/>
    <w:rsid w:val="008A2DC5"/>
    <w:rsid w:val="008A36AD"/>
    <w:rsid w:val="008B0A81"/>
    <w:rsid w:val="008B3254"/>
    <w:rsid w:val="008C0D2B"/>
    <w:rsid w:val="008C3C7E"/>
    <w:rsid w:val="008D433E"/>
    <w:rsid w:val="008D4FFB"/>
    <w:rsid w:val="008F1505"/>
    <w:rsid w:val="008F5DB4"/>
    <w:rsid w:val="00902A3A"/>
    <w:rsid w:val="00902B1A"/>
    <w:rsid w:val="00902B94"/>
    <w:rsid w:val="00904435"/>
    <w:rsid w:val="009050AD"/>
    <w:rsid w:val="009053FB"/>
    <w:rsid w:val="00911CF2"/>
    <w:rsid w:val="009127AD"/>
    <w:rsid w:val="00916140"/>
    <w:rsid w:val="009168A1"/>
    <w:rsid w:val="00925E09"/>
    <w:rsid w:val="00930FB9"/>
    <w:rsid w:val="00934B7E"/>
    <w:rsid w:val="00941FFB"/>
    <w:rsid w:val="00945403"/>
    <w:rsid w:val="00947A4A"/>
    <w:rsid w:val="009503A9"/>
    <w:rsid w:val="00950419"/>
    <w:rsid w:val="009562F7"/>
    <w:rsid w:val="00956EBC"/>
    <w:rsid w:val="00960967"/>
    <w:rsid w:val="00962A6B"/>
    <w:rsid w:val="009636BE"/>
    <w:rsid w:val="009673C1"/>
    <w:rsid w:val="00971A05"/>
    <w:rsid w:val="00982610"/>
    <w:rsid w:val="00986972"/>
    <w:rsid w:val="00986D4E"/>
    <w:rsid w:val="009902C3"/>
    <w:rsid w:val="009956F9"/>
    <w:rsid w:val="009A407D"/>
    <w:rsid w:val="009A7301"/>
    <w:rsid w:val="009B1BF5"/>
    <w:rsid w:val="009B3408"/>
    <w:rsid w:val="009B6F2A"/>
    <w:rsid w:val="009C4007"/>
    <w:rsid w:val="009D3B58"/>
    <w:rsid w:val="009D453C"/>
    <w:rsid w:val="009E1681"/>
    <w:rsid w:val="009F1448"/>
    <w:rsid w:val="009F26BE"/>
    <w:rsid w:val="009F4608"/>
    <w:rsid w:val="009F68FB"/>
    <w:rsid w:val="009F72DE"/>
    <w:rsid w:val="00A00C03"/>
    <w:rsid w:val="00A02AC5"/>
    <w:rsid w:val="00A0563E"/>
    <w:rsid w:val="00A0593C"/>
    <w:rsid w:val="00A06B44"/>
    <w:rsid w:val="00A127C6"/>
    <w:rsid w:val="00A12B44"/>
    <w:rsid w:val="00A160F7"/>
    <w:rsid w:val="00A3029D"/>
    <w:rsid w:val="00A3418B"/>
    <w:rsid w:val="00A34926"/>
    <w:rsid w:val="00A3544C"/>
    <w:rsid w:val="00A42758"/>
    <w:rsid w:val="00A60E01"/>
    <w:rsid w:val="00A65BBD"/>
    <w:rsid w:val="00A70029"/>
    <w:rsid w:val="00A707AC"/>
    <w:rsid w:val="00A73FA7"/>
    <w:rsid w:val="00A849D2"/>
    <w:rsid w:val="00A86612"/>
    <w:rsid w:val="00A90179"/>
    <w:rsid w:val="00A915C0"/>
    <w:rsid w:val="00A919E2"/>
    <w:rsid w:val="00AA039A"/>
    <w:rsid w:val="00AA0AC7"/>
    <w:rsid w:val="00AA0B19"/>
    <w:rsid w:val="00AA444E"/>
    <w:rsid w:val="00AA69ED"/>
    <w:rsid w:val="00AB04DA"/>
    <w:rsid w:val="00AB2D59"/>
    <w:rsid w:val="00AB55C8"/>
    <w:rsid w:val="00AC1046"/>
    <w:rsid w:val="00AC24E3"/>
    <w:rsid w:val="00AC6917"/>
    <w:rsid w:val="00AC6B7E"/>
    <w:rsid w:val="00AD1003"/>
    <w:rsid w:val="00AD6356"/>
    <w:rsid w:val="00AD6640"/>
    <w:rsid w:val="00AD6AF0"/>
    <w:rsid w:val="00AD79D2"/>
    <w:rsid w:val="00AE648A"/>
    <w:rsid w:val="00AE771A"/>
    <w:rsid w:val="00AF03C2"/>
    <w:rsid w:val="00AF1099"/>
    <w:rsid w:val="00AF7AD6"/>
    <w:rsid w:val="00B04A3B"/>
    <w:rsid w:val="00B1161E"/>
    <w:rsid w:val="00B2040C"/>
    <w:rsid w:val="00B206F8"/>
    <w:rsid w:val="00B23BA0"/>
    <w:rsid w:val="00B2439F"/>
    <w:rsid w:val="00B34BE2"/>
    <w:rsid w:val="00B411F4"/>
    <w:rsid w:val="00B41EB5"/>
    <w:rsid w:val="00B61D0D"/>
    <w:rsid w:val="00B66A90"/>
    <w:rsid w:val="00B723E9"/>
    <w:rsid w:val="00B83B44"/>
    <w:rsid w:val="00B8700E"/>
    <w:rsid w:val="00B87D4C"/>
    <w:rsid w:val="00B96D3E"/>
    <w:rsid w:val="00B973F2"/>
    <w:rsid w:val="00BA0ED2"/>
    <w:rsid w:val="00BA3420"/>
    <w:rsid w:val="00BB1373"/>
    <w:rsid w:val="00BB15E4"/>
    <w:rsid w:val="00BB29AC"/>
    <w:rsid w:val="00BB59C2"/>
    <w:rsid w:val="00BC392E"/>
    <w:rsid w:val="00BC5C88"/>
    <w:rsid w:val="00BD056D"/>
    <w:rsid w:val="00BD3952"/>
    <w:rsid w:val="00BD431D"/>
    <w:rsid w:val="00BD4A25"/>
    <w:rsid w:val="00BD4C87"/>
    <w:rsid w:val="00BE2E47"/>
    <w:rsid w:val="00BF15C4"/>
    <w:rsid w:val="00BF3BFD"/>
    <w:rsid w:val="00BF475F"/>
    <w:rsid w:val="00BF7EE2"/>
    <w:rsid w:val="00C040A2"/>
    <w:rsid w:val="00C04647"/>
    <w:rsid w:val="00C1462C"/>
    <w:rsid w:val="00C2047A"/>
    <w:rsid w:val="00C215DF"/>
    <w:rsid w:val="00C2626B"/>
    <w:rsid w:val="00C27726"/>
    <w:rsid w:val="00C30614"/>
    <w:rsid w:val="00C35D91"/>
    <w:rsid w:val="00C5678E"/>
    <w:rsid w:val="00C57CC0"/>
    <w:rsid w:val="00C6688F"/>
    <w:rsid w:val="00C80ECF"/>
    <w:rsid w:val="00C877B5"/>
    <w:rsid w:val="00C945FB"/>
    <w:rsid w:val="00C9469E"/>
    <w:rsid w:val="00C97A8D"/>
    <w:rsid w:val="00CA329F"/>
    <w:rsid w:val="00CB020B"/>
    <w:rsid w:val="00CB617C"/>
    <w:rsid w:val="00CB760A"/>
    <w:rsid w:val="00CB789B"/>
    <w:rsid w:val="00CC0322"/>
    <w:rsid w:val="00CC3300"/>
    <w:rsid w:val="00CC5743"/>
    <w:rsid w:val="00CD019B"/>
    <w:rsid w:val="00CD20E4"/>
    <w:rsid w:val="00CD33F9"/>
    <w:rsid w:val="00CE0ED4"/>
    <w:rsid w:val="00CF3726"/>
    <w:rsid w:val="00CF7A5E"/>
    <w:rsid w:val="00CF7C9D"/>
    <w:rsid w:val="00D0427C"/>
    <w:rsid w:val="00D04DDE"/>
    <w:rsid w:val="00D05B2B"/>
    <w:rsid w:val="00D163F3"/>
    <w:rsid w:val="00D1691F"/>
    <w:rsid w:val="00D30496"/>
    <w:rsid w:val="00D30842"/>
    <w:rsid w:val="00D35975"/>
    <w:rsid w:val="00D40258"/>
    <w:rsid w:val="00D61FD5"/>
    <w:rsid w:val="00D82E37"/>
    <w:rsid w:val="00D85D56"/>
    <w:rsid w:val="00DA508E"/>
    <w:rsid w:val="00DA588A"/>
    <w:rsid w:val="00DA5E17"/>
    <w:rsid w:val="00DB1E6C"/>
    <w:rsid w:val="00DB4F49"/>
    <w:rsid w:val="00DC4C90"/>
    <w:rsid w:val="00DE17E9"/>
    <w:rsid w:val="00DE432D"/>
    <w:rsid w:val="00DE572D"/>
    <w:rsid w:val="00DE5BAF"/>
    <w:rsid w:val="00DE5D30"/>
    <w:rsid w:val="00DE7D01"/>
    <w:rsid w:val="00DF12D8"/>
    <w:rsid w:val="00DF15BD"/>
    <w:rsid w:val="00DF2B6C"/>
    <w:rsid w:val="00DF5307"/>
    <w:rsid w:val="00E026F5"/>
    <w:rsid w:val="00E02C14"/>
    <w:rsid w:val="00E1042C"/>
    <w:rsid w:val="00E114C6"/>
    <w:rsid w:val="00E207F1"/>
    <w:rsid w:val="00E25856"/>
    <w:rsid w:val="00E27854"/>
    <w:rsid w:val="00E322F9"/>
    <w:rsid w:val="00E35084"/>
    <w:rsid w:val="00E359C7"/>
    <w:rsid w:val="00E41F94"/>
    <w:rsid w:val="00E41FCB"/>
    <w:rsid w:val="00E44876"/>
    <w:rsid w:val="00E4514F"/>
    <w:rsid w:val="00E4748D"/>
    <w:rsid w:val="00E5080E"/>
    <w:rsid w:val="00E519C2"/>
    <w:rsid w:val="00E5225D"/>
    <w:rsid w:val="00E54406"/>
    <w:rsid w:val="00E6402C"/>
    <w:rsid w:val="00E72BC7"/>
    <w:rsid w:val="00E7773B"/>
    <w:rsid w:val="00E80F7B"/>
    <w:rsid w:val="00E85AAC"/>
    <w:rsid w:val="00E933BE"/>
    <w:rsid w:val="00EA55D5"/>
    <w:rsid w:val="00EA7CB0"/>
    <w:rsid w:val="00EB2447"/>
    <w:rsid w:val="00EB50BE"/>
    <w:rsid w:val="00EC0F3C"/>
    <w:rsid w:val="00EC6077"/>
    <w:rsid w:val="00EC7002"/>
    <w:rsid w:val="00EC74AB"/>
    <w:rsid w:val="00EC76D1"/>
    <w:rsid w:val="00ED33B6"/>
    <w:rsid w:val="00ED7677"/>
    <w:rsid w:val="00EE4205"/>
    <w:rsid w:val="00F12A14"/>
    <w:rsid w:val="00F16A8B"/>
    <w:rsid w:val="00F20E9B"/>
    <w:rsid w:val="00F21FCB"/>
    <w:rsid w:val="00F33648"/>
    <w:rsid w:val="00F3674E"/>
    <w:rsid w:val="00F42BD8"/>
    <w:rsid w:val="00F43C59"/>
    <w:rsid w:val="00F63037"/>
    <w:rsid w:val="00F63680"/>
    <w:rsid w:val="00F65351"/>
    <w:rsid w:val="00F748D1"/>
    <w:rsid w:val="00F76168"/>
    <w:rsid w:val="00F824B2"/>
    <w:rsid w:val="00F917A1"/>
    <w:rsid w:val="00F95BE2"/>
    <w:rsid w:val="00F96C61"/>
    <w:rsid w:val="00FC0AE3"/>
    <w:rsid w:val="00FC7770"/>
    <w:rsid w:val="00FD168E"/>
    <w:rsid w:val="00FE19CF"/>
    <w:rsid w:val="00FE72FF"/>
    <w:rsid w:val="00FF0169"/>
    <w:rsid w:val="00FF53EE"/>
    <w:rsid w:val="011640EA"/>
    <w:rsid w:val="01BA1962"/>
    <w:rsid w:val="01CA1DF8"/>
    <w:rsid w:val="0252665D"/>
    <w:rsid w:val="02672D80"/>
    <w:rsid w:val="026929FF"/>
    <w:rsid w:val="02C63699"/>
    <w:rsid w:val="038D2B62"/>
    <w:rsid w:val="03D32443"/>
    <w:rsid w:val="044C333D"/>
    <w:rsid w:val="0451595C"/>
    <w:rsid w:val="0462740C"/>
    <w:rsid w:val="04893F11"/>
    <w:rsid w:val="04E32999"/>
    <w:rsid w:val="052139F6"/>
    <w:rsid w:val="058A4BA6"/>
    <w:rsid w:val="05BA412D"/>
    <w:rsid w:val="060175B5"/>
    <w:rsid w:val="065C61FB"/>
    <w:rsid w:val="06646A88"/>
    <w:rsid w:val="06E573E1"/>
    <w:rsid w:val="06F05772"/>
    <w:rsid w:val="078A686A"/>
    <w:rsid w:val="07993E80"/>
    <w:rsid w:val="08093ADA"/>
    <w:rsid w:val="084C43AA"/>
    <w:rsid w:val="0857273B"/>
    <w:rsid w:val="09BF0AC4"/>
    <w:rsid w:val="0C281202"/>
    <w:rsid w:val="0C4131A8"/>
    <w:rsid w:val="0C747FFC"/>
    <w:rsid w:val="0D006F78"/>
    <w:rsid w:val="0D2C77AB"/>
    <w:rsid w:val="0D8559F1"/>
    <w:rsid w:val="0DE66BD9"/>
    <w:rsid w:val="0DFA735F"/>
    <w:rsid w:val="0E263246"/>
    <w:rsid w:val="0E523D0A"/>
    <w:rsid w:val="0E786388"/>
    <w:rsid w:val="0E7D3C55"/>
    <w:rsid w:val="0EF82415"/>
    <w:rsid w:val="0FB748D6"/>
    <w:rsid w:val="11472BD3"/>
    <w:rsid w:val="116230AD"/>
    <w:rsid w:val="11A021F8"/>
    <w:rsid w:val="12386EF3"/>
    <w:rsid w:val="12435284"/>
    <w:rsid w:val="126F15CC"/>
    <w:rsid w:val="130D6482"/>
    <w:rsid w:val="131C7166"/>
    <w:rsid w:val="13935EAB"/>
    <w:rsid w:val="13CF6CC6"/>
    <w:rsid w:val="14BE28F7"/>
    <w:rsid w:val="152C585B"/>
    <w:rsid w:val="155861E6"/>
    <w:rsid w:val="155B0D1A"/>
    <w:rsid w:val="167F610F"/>
    <w:rsid w:val="16815279"/>
    <w:rsid w:val="17AE1BEE"/>
    <w:rsid w:val="17BA1AFE"/>
    <w:rsid w:val="189268E4"/>
    <w:rsid w:val="19632DB3"/>
    <w:rsid w:val="1A065E3F"/>
    <w:rsid w:val="1A1455B6"/>
    <w:rsid w:val="1A264176"/>
    <w:rsid w:val="1A581B0A"/>
    <w:rsid w:val="1C9A00B3"/>
    <w:rsid w:val="1CFD009B"/>
    <w:rsid w:val="1D746DE1"/>
    <w:rsid w:val="1EB67129"/>
    <w:rsid w:val="1ED0129B"/>
    <w:rsid w:val="1EEB16E3"/>
    <w:rsid w:val="1F053CF4"/>
    <w:rsid w:val="1F4D5C3B"/>
    <w:rsid w:val="1F996C9E"/>
    <w:rsid w:val="203D58D3"/>
    <w:rsid w:val="20C82B86"/>
    <w:rsid w:val="20E0597D"/>
    <w:rsid w:val="20EE1616"/>
    <w:rsid w:val="210E5037"/>
    <w:rsid w:val="21BD09EA"/>
    <w:rsid w:val="21BD287B"/>
    <w:rsid w:val="21C60014"/>
    <w:rsid w:val="22353B2B"/>
    <w:rsid w:val="22750919"/>
    <w:rsid w:val="22AB6FED"/>
    <w:rsid w:val="22CB5324"/>
    <w:rsid w:val="22D574A1"/>
    <w:rsid w:val="23395957"/>
    <w:rsid w:val="2359040B"/>
    <w:rsid w:val="24331D7F"/>
    <w:rsid w:val="247D056D"/>
    <w:rsid w:val="2483798D"/>
    <w:rsid w:val="2485472C"/>
    <w:rsid w:val="24917DC3"/>
    <w:rsid w:val="24D54E1E"/>
    <w:rsid w:val="254C7941"/>
    <w:rsid w:val="25586002"/>
    <w:rsid w:val="25633CE3"/>
    <w:rsid w:val="25AE66E1"/>
    <w:rsid w:val="26D32C40"/>
    <w:rsid w:val="27355263"/>
    <w:rsid w:val="27E22DFD"/>
    <w:rsid w:val="27F26C08"/>
    <w:rsid w:val="27F856F6"/>
    <w:rsid w:val="285A17C2"/>
    <w:rsid w:val="287A4275"/>
    <w:rsid w:val="28920928"/>
    <w:rsid w:val="28C668F3"/>
    <w:rsid w:val="28E848A9"/>
    <w:rsid w:val="293B1350"/>
    <w:rsid w:val="2980256C"/>
    <w:rsid w:val="2A477EA1"/>
    <w:rsid w:val="2AF04C7E"/>
    <w:rsid w:val="2BA8442D"/>
    <w:rsid w:val="2C357514"/>
    <w:rsid w:val="2C6B2D06"/>
    <w:rsid w:val="2CA92052"/>
    <w:rsid w:val="2D2F2FAF"/>
    <w:rsid w:val="2D307666"/>
    <w:rsid w:val="2D4F12E5"/>
    <w:rsid w:val="2D8F0ED5"/>
    <w:rsid w:val="2DC67193"/>
    <w:rsid w:val="2F834B32"/>
    <w:rsid w:val="2FD82314"/>
    <w:rsid w:val="2FFC43C7"/>
    <w:rsid w:val="30110AE9"/>
    <w:rsid w:val="30536CBC"/>
    <w:rsid w:val="30560421"/>
    <w:rsid w:val="30D15868"/>
    <w:rsid w:val="31637F7F"/>
    <w:rsid w:val="31AD0012"/>
    <w:rsid w:val="321B43C1"/>
    <w:rsid w:val="323B26F8"/>
    <w:rsid w:val="32776A72"/>
    <w:rsid w:val="334A28B5"/>
    <w:rsid w:val="338B331E"/>
    <w:rsid w:val="338F0BB8"/>
    <w:rsid w:val="33BC0B21"/>
    <w:rsid w:val="33BF23AF"/>
    <w:rsid w:val="34382847"/>
    <w:rsid w:val="344B76F1"/>
    <w:rsid w:val="347801DC"/>
    <w:rsid w:val="348205F2"/>
    <w:rsid w:val="350E57A6"/>
    <w:rsid w:val="35D973C0"/>
    <w:rsid w:val="35F55D16"/>
    <w:rsid w:val="362134F1"/>
    <w:rsid w:val="366D0E58"/>
    <w:rsid w:val="368F6E0E"/>
    <w:rsid w:val="3730221B"/>
    <w:rsid w:val="375B35BF"/>
    <w:rsid w:val="382B7916"/>
    <w:rsid w:val="38604B0B"/>
    <w:rsid w:val="38A20DF8"/>
    <w:rsid w:val="39440601"/>
    <w:rsid w:val="3A781EDA"/>
    <w:rsid w:val="3AC3188F"/>
    <w:rsid w:val="3ACB7183"/>
    <w:rsid w:val="3B961D3F"/>
    <w:rsid w:val="3C3A691D"/>
    <w:rsid w:val="3C587F4F"/>
    <w:rsid w:val="3C926AEF"/>
    <w:rsid w:val="3CB44AA5"/>
    <w:rsid w:val="3DAD5E97"/>
    <w:rsid w:val="3DD61F39"/>
    <w:rsid w:val="3E872422"/>
    <w:rsid w:val="3E9167B3"/>
    <w:rsid w:val="3EFA7F3F"/>
    <w:rsid w:val="3F15253C"/>
    <w:rsid w:val="3F496B59"/>
    <w:rsid w:val="3F8A1D64"/>
    <w:rsid w:val="3FE24C5D"/>
    <w:rsid w:val="40051935"/>
    <w:rsid w:val="400D1324"/>
    <w:rsid w:val="40631D33"/>
    <w:rsid w:val="406E00C4"/>
    <w:rsid w:val="40B232D6"/>
    <w:rsid w:val="40BA2742"/>
    <w:rsid w:val="40DB4E75"/>
    <w:rsid w:val="41313CF6"/>
    <w:rsid w:val="41C45E15"/>
    <w:rsid w:val="420D2926"/>
    <w:rsid w:val="42A864DC"/>
    <w:rsid w:val="42D9273C"/>
    <w:rsid w:val="43056A83"/>
    <w:rsid w:val="43921DE1"/>
    <w:rsid w:val="43FF6C9B"/>
    <w:rsid w:val="4409502C"/>
    <w:rsid w:val="45832CC1"/>
    <w:rsid w:val="472D6E53"/>
    <w:rsid w:val="47F00216"/>
    <w:rsid w:val="487D32FD"/>
    <w:rsid w:val="48927A1F"/>
    <w:rsid w:val="49825129"/>
    <w:rsid w:val="49B83F7E"/>
    <w:rsid w:val="49B87801"/>
    <w:rsid w:val="4AE91B36"/>
    <w:rsid w:val="4B6404D2"/>
    <w:rsid w:val="4BCB5F67"/>
    <w:rsid w:val="4CFE4C6C"/>
    <w:rsid w:val="4D2607A2"/>
    <w:rsid w:val="4DA34583"/>
    <w:rsid w:val="4E1622A9"/>
    <w:rsid w:val="4E634927"/>
    <w:rsid w:val="4E6D2CB8"/>
    <w:rsid w:val="4F30407B"/>
    <w:rsid w:val="4F506B2E"/>
    <w:rsid w:val="4FE05C5F"/>
    <w:rsid w:val="4FFF7BCB"/>
    <w:rsid w:val="50095F5C"/>
    <w:rsid w:val="509C065C"/>
    <w:rsid w:val="509C0B30"/>
    <w:rsid w:val="50CC3A9C"/>
    <w:rsid w:val="51E754ED"/>
    <w:rsid w:val="5295690B"/>
    <w:rsid w:val="53AE4E59"/>
    <w:rsid w:val="53BA4FC1"/>
    <w:rsid w:val="53DA754F"/>
    <w:rsid w:val="543D55CB"/>
    <w:rsid w:val="548825BE"/>
    <w:rsid w:val="5492094F"/>
    <w:rsid w:val="56462A2C"/>
    <w:rsid w:val="5669119C"/>
    <w:rsid w:val="56B474B2"/>
    <w:rsid w:val="56BC6CDA"/>
    <w:rsid w:val="57AD21A3"/>
    <w:rsid w:val="584F54BD"/>
    <w:rsid w:val="59273D6B"/>
    <w:rsid w:val="59317A63"/>
    <w:rsid w:val="59D450D8"/>
    <w:rsid w:val="5A0563A8"/>
    <w:rsid w:val="5B5220A1"/>
    <w:rsid w:val="5B872136"/>
    <w:rsid w:val="5B913D4A"/>
    <w:rsid w:val="5BB96155"/>
    <w:rsid w:val="5C4A34F9"/>
    <w:rsid w:val="5C6C33C1"/>
    <w:rsid w:val="5C767840"/>
    <w:rsid w:val="5CB0472B"/>
    <w:rsid w:val="5CB8155B"/>
    <w:rsid w:val="5CEC2328"/>
    <w:rsid w:val="5D992303"/>
    <w:rsid w:val="5D9D03CC"/>
    <w:rsid w:val="5DD9788A"/>
    <w:rsid w:val="5E4951BD"/>
    <w:rsid w:val="5E53354E"/>
    <w:rsid w:val="5EC94BF2"/>
    <w:rsid w:val="5F3673C4"/>
    <w:rsid w:val="5F573677"/>
    <w:rsid w:val="5F8D7DD2"/>
    <w:rsid w:val="5FFA4B83"/>
    <w:rsid w:val="61775374"/>
    <w:rsid w:val="617D3E11"/>
    <w:rsid w:val="61B561E1"/>
    <w:rsid w:val="620B7F11"/>
    <w:rsid w:val="621409C5"/>
    <w:rsid w:val="62343265"/>
    <w:rsid w:val="629B1C54"/>
    <w:rsid w:val="62D27BAF"/>
    <w:rsid w:val="63130619"/>
    <w:rsid w:val="63CD322B"/>
    <w:rsid w:val="64172445"/>
    <w:rsid w:val="642207D6"/>
    <w:rsid w:val="648803EF"/>
    <w:rsid w:val="649A3A1C"/>
    <w:rsid w:val="64B60010"/>
    <w:rsid w:val="650700D4"/>
    <w:rsid w:val="652351B6"/>
    <w:rsid w:val="655E27D8"/>
    <w:rsid w:val="659132B0"/>
    <w:rsid w:val="65930ADD"/>
    <w:rsid w:val="65B12EC4"/>
    <w:rsid w:val="665D7604"/>
    <w:rsid w:val="671513DE"/>
    <w:rsid w:val="672542C6"/>
    <w:rsid w:val="678E528F"/>
    <w:rsid w:val="679466CB"/>
    <w:rsid w:val="67C33F5A"/>
    <w:rsid w:val="68A04E37"/>
    <w:rsid w:val="68A6296F"/>
    <w:rsid w:val="68AB31C8"/>
    <w:rsid w:val="68C2756A"/>
    <w:rsid w:val="68E62B38"/>
    <w:rsid w:val="6A204916"/>
    <w:rsid w:val="6ABB287D"/>
    <w:rsid w:val="6AF57307"/>
    <w:rsid w:val="6C3C665E"/>
    <w:rsid w:val="6D7C7BA2"/>
    <w:rsid w:val="6D814635"/>
    <w:rsid w:val="6E423D13"/>
    <w:rsid w:val="6EA50F15"/>
    <w:rsid w:val="6ED253C1"/>
    <w:rsid w:val="6EEA4E73"/>
    <w:rsid w:val="6EFC35FF"/>
    <w:rsid w:val="6F062717"/>
    <w:rsid w:val="6F285C6B"/>
    <w:rsid w:val="702F6959"/>
    <w:rsid w:val="70536FF5"/>
    <w:rsid w:val="708304A5"/>
    <w:rsid w:val="70E164EC"/>
    <w:rsid w:val="70EF031B"/>
    <w:rsid w:val="70F42FD3"/>
    <w:rsid w:val="713118C3"/>
    <w:rsid w:val="719A4701"/>
    <w:rsid w:val="71CA038B"/>
    <w:rsid w:val="71D538AB"/>
    <w:rsid w:val="72055D6C"/>
    <w:rsid w:val="723C415D"/>
    <w:rsid w:val="72B80445"/>
    <w:rsid w:val="730F0E54"/>
    <w:rsid w:val="73DD49A4"/>
    <w:rsid w:val="743453B3"/>
    <w:rsid w:val="743F3EE0"/>
    <w:rsid w:val="74E267D1"/>
    <w:rsid w:val="755A00A6"/>
    <w:rsid w:val="759A5F7F"/>
    <w:rsid w:val="75EB1129"/>
    <w:rsid w:val="766B7C88"/>
    <w:rsid w:val="77CA30D3"/>
    <w:rsid w:val="77F96D63"/>
    <w:rsid w:val="785C5783"/>
    <w:rsid w:val="792324DB"/>
    <w:rsid w:val="79294ED6"/>
    <w:rsid w:val="796507C1"/>
    <w:rsid w:val="7975415E"/>
    <w:rsid w:val="797D740A"/>
    <w:rsid w:val="79804A75"/>
    <w:rsid w:val="79971C87"/>
    <w:rsid w:val="79B77FBE"/>
    <w:rsid w:val="79E34305"/>
    <w:rsid w:val="79FF7895"/>
    <w:rsid w:val="7A445F25"/>
    <w:rsid w:val="7B0674AB"/>
    <w:rsid w:val="7B355148"/>
    <w:rsid w:val="7B9F58E0"/>
    <w:rsid w:val="7BD21F0D"/>
    <w:rsid w:val="7C8D136B"/>
    <w:rsid w:val="7D0251B7"/>
    <w:rsid w:val="7D5052A6"/>
    <w:rsid w:val="7E813419"/>
    <w:rsid w:val="7EE221B9"/>
    <w:rsid w:val="7FA57762"/>
    <w:rsid w:val="7FE32146"/>
    <w:rsid w:val="7FF165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name="index heading"/>
    <w:lsdException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unhideWhenUsed="0" w:uiPriority="0" w:semiHidden="0" w:name="Title" w:locked="1"/>
    <w:lsdException w:qFormat="1" w:unhideWhenUsed="0" w:uiPriority="0" w:semiHidden="0" w:name="Closing"/>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qFormat="1" w:unhideWhenUsed="0" w:uiPriority="0" w:semiHidden="0" w:name="Salutation"/>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sdException w:unhideWhenUsed="0" w:uiPriority="0" w:semiHidden="0" w:name="Body Text 3" w:locked="1"/>
    <w:lsdException w:qFormat="1" w:unhideWhenUsed="0" w:uiPriority="0" w:semiHidden="0" w:name="Body Text Indent 2"/>
    <w:lsdException w:qFormat="1" w:unhideWhenUsed="0" w:uiPriority="0" w:semiHidden="0" w:name="Body Text Indent 3"/>
    <w:lsdException w:unhideWhenUsed="0" w:uiPriority="0" w:semiHidden="0" w:name="Block Text" w:locked="1"/>
    <w:lsdException w:qFormat="1" w:unhideWhenUsed="0" w:uiPriority="0" w:semiHidden="0" w:name="Hyperlink"/>
    <w:lsdException w:qFormat="1" w:unhideWhenUsed="0" w:uiPriority="0" w:semiHidden="0" w:name="FollowedHyperlink"/>
    <w:lsdException w:unhideWhenUsed="0" w:uiPriority="0" w:semiHidden="0" w:name="Strong" w:locked="1"/>
    <w:lsdException w:unhideWhenUsed="0" w:uiPriority="0" w:semiHidden="0" w:name="Emphasis" w:locked="1"/>
    <w:lsdException w:qFormat="1" w:unhideWhenUsed="0" w:uiPriority="0" w:name="Document Map"/>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qFormat="1" w:unhideWhenUsed="0" w:uiPriority="0" w:semiHidden="0" w:name="Table Colorful 3"/>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qFormat="1" w:unhideWhenUsed="0" w:uiPriority="0" w:semiHidden="0" w:name="Table Elegant"/>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74"/>
    <w:qFormat/>
    <w:uiPriority w:val="0"/>
    <w:pPr>
      <w:keepNext/>
      <w:spacing w:line="440" w:lineRule="exact"/>
      <w:jc w:val="center"/>
      <w:outlineLvl w:val="0"/>
    </w:pPr>
    <w:rPr>
      <w:rFonts w:ascii="仿宋_GB2312" w:eastAsia="仿宋_GB2312" w:cs="仿宋_GB2312"/>
      <w:sz w:val="28"/>
      <w:szCs w:val="28"/>
    </w:rPr>
  </w:style>
  <w:style w:type="paragraph" w:styleId="3">
    <w:name w:val="heading 2"/>
    <w:basedOn w:val="1"/>
    <w:next w:val="1"/>
    <w:link w:val="79"/>
    <w:qFormat/>
    <w:uiPriority w:val="0"/>
    <w:pPr>
      <w:keepNext/>
      <w:adjustRightInd w:val="0"/>
      <w:snapToGrid w:val="0"/>
      <w:outlineLvl w:val="1"/>
    </w:pPr>
    <w:rPr>
      <w:rFonts w:ascii="仿宋_GB2312" w:eastAsia="仿宋_GB2312" w:cs="仿宋_GB2312"/>
      <w:b/>
      <w:bCs/>
      <w:sz w:val="28"/>
      <w:szCs w:val="28"/>
    </w:rPr>
  </w:style>
  <w:style w:type="paragraph" w:styleId="4">
    <w:name w:val="heading 3"/>
    <w:basedOn w:val="1"/>
    <w:next w:val="1"/>
    <w:link w:val="71"/>
    <w:qFormat/>
    <w:uiPriority w:val="0"/>
    <w:pPr>
      <w:keepNext/>
      <w:keepLines/>
      <w:spacing w:before="260" w:after="260" w:line="416" w:lineRule="auto"/>
      <w:outlineLvl w:val="2"/>
    </w:pPr>
    <w:rPr>
      <w:b/>
      <w:bCs/>
      <w:sz w:val="32"/>
      <w:szCs w:val="32"/>
    </w:rPr>
  </w:style>
  <w:style w:type="character" w:default="1" w:styleId="45">
    <w:name w:val="Default Paragraph Font"/>
    <w:semiHidden/>
    <w:qFormat/>
    <w:uiPriority w:val="0"/>
  </w:style>
  <w:style w:type="table" w:default="1" w:styleId="40">
    <w:name w:val="Normal Table"/>
    <w:semiHidden/>
    <w:qFormat/>
    <w:uiPriority w:val="0"/>
    <w:tblPr>
      <w:tblLayout w:type="fixed"/>
      <w:tblCellMar>
        <w:top w:w="0" w:type="dxa"/>
        <w:left w:w="108" w:type="dxa"/>
        <w:bottom w:w="0" w:type="dxa"/>
        <w:right w:w="108" w:type="dxa"/>
      </w:tblCellMar>
    </w:tblPr>
  </w:style>
  <w:style w:type="paragraph" w:styleId="5">
    <w:name w:val="toc 7"/>
    <w:basedOn w:val="1"/>
    <w:next w:val="1"/>
    <w:semiHidden/>
    <w:qFormat/>
    <w:uiPriority w:val="0"/>
    <w:pPr>
      <w:ind w:left="1260"/>
      <w:jc w:val="left"/>
    </w:pPr>
    <w:rPr>
      <w:rFonts w:ascii="Calibri" w:hAnsi="Calibri" w:cs="Calibri"/>
      <w:sz w:val="18"/>
      <w:szCs w:val="18"/>
    </w:rPr>
  </w:style>
  <w:style w:type="paragraph" w:styleId="6">
    <w:name w:val="index 8"/>
    <w:basedOn w:val="1"/>
    <w:next w:val="1"/>
    <w:semiHidden/>
    <w:qFormat/>
    <w:uiPriority w:val="0"/>
    <w:pPr>
      <w:ind w:left="1400" w:leftChars="1400"/>
    </w:pPr>
  </w:style>
  <w:style w:type="paragraph" w:styleId="7">
    <w:name w:val="index 5"/>
    <w:basedOn w:val="1"/>
    <w:next w:val="1"/>
    <w:semiHidden/>
    <w:qFormat/>
    <w:uiPriority w:val="0"/>
    <w:pPr>
      <w:ind w:left="800" w:leftChars="800"/>
    </w:pPr>
  </w:style>
  <w:style w:type="paragraph" w:styleId="8">
    <w:name w:val="Document Map"/>
    <w:basedOn w:val="1"/>
    <w:link w:val="68"/>
    <w:semiHidden/>
    <w:qFormat/>
    <w:uiPriority w:val="0"/>
    <w:pPr>
      <w:shd w:val="clear" w:color="auto" w:fill="000080"/>
    </w:pPr>
  </w:style>
  <w:style w:type="paragraph" w:styleId="9">
    <w:name w:val="annotation text"/>
    <w:basedOn w:val="1"/>
    <w:link w:val="58"/>
    <w:semiHidden/>
    <w:qFormat/>
    <w:uiPriority w:val="0"/>
    <w:pPr>
      <w:jc w:val="left"/>
    </w:pPr>
  </w:style>
  <w:style w:type="paragraph" w:styleId="10">
    <w:name w:val="index 6"/>
    <w:basedOn w:val="1"/>
    <w:next w:val="1"/>
    <w:semiHidden/>
    <w:qFormat/>
    <w:uiPriority w:val="0"/>
    <w:pPr>
      <w:ind w:left="1000" w:leftChars="1000"/>
    </w:pPr>
  </w:style>
  <w:style w:type="paragraph" w:styleId="11">
    <w:name w:val="Salutation"/>
    <w:basedOn w:val="1"/>
    <w:next w:val="1"/>
    <w:link w:val="61"/>
    <w:qFormat/>
    <w:uiPriority w:val="0"/>
    <w:rPr>
      <w:rFonts w:ascii="仿宋_GB2312" w:eastAsia="仿宋_GB2312" w:cs="仿宋_GB2312"/>
      <w:sz w:val="28"/>
      <w:szCs w:val="28"/>
    </w:rPr>
  </w:style>
  <w:style w:type="paragraph" w:styleId="12">
    <w:name w:val="Closing"/>
    <w:basedOn w:val="1"/>
    <w:next w:val="1"/>
    <w:link w:val="85"/>
    <w:qFormat/>
    <w:uiPriority w:val="0"/>
    <w:pPr>
      <w:ind w:left="4320"/>
    </w:pPr>
    <w:rPr>
      <w:rFonts w:ascii="仿宋_GB2312" w:eastAsia="仿宋_GB2312" w:cs="仿宋_GB2312"/>
      <w:sz w:val="28"/>
      <w:szCs w:val="28"/>
    </w:rPr>
  </w:style>
  <w:style w:type="paragraph" w:styleId="13">
    <w:name w:val="Body Text"/>
    <w:basedOn w:val="1"/>
    <w:link w:val="67"/>
    <w:qFormat/>
    <w:uiPriority w:val="0"/>
    <w:pPr>
      <w:spacing w:line="560" w:lineRule="exact"/>
    </w:pPr>
    <w:rPr>
      <w:rFonts w:ascii="仿宋_GB2312" w:eastAsia="仿宋_GB2312" w:cs="仿宋_GB2312"/>
      <w:sz w:val="28"/>
      <w:szCs w:val="28"/>
    </w:rPr>
  </w:style>
  <w:style w:type="paragraph" w:styleId="14">
    <w:name w:val="Body Text Indent"/>
    <w:basedOn w:val="1"/>
    <w:link w:val="80"/>
    <w:qFormat/>
    <w:uiPriority w:val="0"/>
    <w:pPr>
      <w:spacing w:line="600" w:lineRule="exact"/>
      <w:ind w:right="-150" w:firstLine="520" w:firstLineChars="200"/>
    </w:pPr>
    <w:rPr>
      <w:rFonts w:ascii="仿宋_GB2312" w:eastAsia="仿宋_GB2312" w:cs="仿宋_GB2312"/>
      <w:color w:val="FF0000"/>
      <w:spacing w:val="10"/>
      <w:sz w:val="24"/>
      <w:szCs w:val="24"/>
    </w:rPr>
  </w:style>
  <w:style w:type="paragraph" w:styleId="15">
    <w:name w:val="index 4"/>
    <w:basedOn w:val="1"/>
    <w:next w:val="1"/>
    <w:semiHidden/>
    <w:qFormat/>
    <w:uiPriority w:val="0"/>
    <w:pPr>
      <w:ind w:left="600" w:leftChars="600"/>
    </w:pPr>
  </w:style>
  <w:style w:type="paragraph" w:styleId="16">
    <w:name w:val="toc 5"/>
    <w:basedOn w:val="1"/>
    <w:next w:val="1"/>
    <w:semiHidden/>
    <w:qFormat/>
    <w:uiPriority w:val="0"/>
    <w:pPr>
      <w:ind w:left="840"/>
      <w:jc w:val="left"/>
    </w:pPr>
    <w:rPr>
      <w:rFonts w:ascii="Calibri" w:hAnsi="Calibri" w:cs="Calibri"/>
      <w:sz w:val="18"/>
      <w:szCs w:val="18"/>
    </w:rPr>
  </w:style>
  <w:style w:type="paragraph" w:styleId="17">
    <w:name w:val="toc 3"/>
    <w:basedOn w:val="1"/>
    <w:next w:val="1"/>
    <w:semiHidden/>
    <w:qFormat/>
    <w:uiPriority w:val="0"/>
    <w:pPr>
      <w:numPr>
        <w:ilvl w:val="0"/>
        <w:numId w:val="1"/>
      </w:numPr>
      <w:ind w:left="420" w:hanging="420"/>
      <w:jc w:val="left"/>
    </w:pPr>
    <w:rPr>
      <w:rFonts w:ascii="Calibri" w:hAnsi="Calibri" w:cs="Calibri"/>
      <w:i/>
      <w:iCs/>
      <w:sz w:val="20"/>
      <w:szCs w:val="20"/>
    </w:rPr>
  </w:style>
  <w:style w:type="paragraph" w:styleId="18">
    <w:name w:val="Plain Text"/>
    <w:basedOn w:val="1"/>
    <w:link w:val="86"/>
    <w:qFormat/>
    <w:uiPriority w:val="0"/>
    <w:rPr>
      <w:rFonts w:ascii="宋体" w:hAnsi="Courier New" w:cs="宋体"/>
    </w:rPr>
  </w:style>
  <w:style w:type="paragraph" w:styleId="19">
    <w:name w:val="toc 8"/>
    <w:basedOn w:val="1"/>
    <w:next w:val="1"/>
    <w:semiHidden/>
    <w:qFormat/>
    <w:uiPriority w:val="0"/>
    <w:pPr>
      <w:ind w:left="1470"/>
      <w:jc w:val="left"/>
    </w:pPr>
    <w:rPr>
      <w:rFonts w:ascii="Calibri" w:hAnsi="Calibri" w:cs="Calibri"/>
      <w:sz w:val="18"/>
      <w:szCs w:val="18"/>
    </w:rPr>
  </w:style>
  <w:style w:type="paragraph" w:styleId="20">
    <w:name w:val="index 3"/>
    <w:basedOn w:val="1"/>
    <w:next w:val="1"/>
    <w:semiHidden/>
    <w:qFormat/>
    <w:uiPriority w:val="0"/>
    <w:pPr>
      <w:ind w:left="400" w:leftChars="400"/>
    </w:pPr>
  </w:style>
  <w:style w:type="paragraph" w:styleId="21">
    <w:name w:val="Date"/>
    <w:basedOn w:val="1"/>
    <w:next w:val="1"/>
    <w:link w:val="76"/>
    <w:qFormat/>
    <w:uiPriority w:val="0"/>
    <w:rPr>
      <w:rFonts w:ascii="仿宋_GB2312" w:eastAsia="仿宋_GB2312" w:cs="仿宋_GB2312"/>
      <w:sz w:val="28"/>
      <w:szCs w:val="28"/>
    </w:rPr>
  </w:style>
  <w:style w:type="paragraph" w:styleId="22">
    <w:name w:val="Body Text Indent 2"/>
    <w:basedOn w:val="1"/>
    <w:link w:val="64"/>
    <w:qFormat/>
    <w:uiPriority w:val="0"/>
    <w:pPr>
      <w:spacing w:line="560" w:lineRule="exact"/>
      <w:ind w:left="-105" w:firstLine="629" w:firstLineChars="242"/>
    </w:pPr>
    <w:rPr>
      <w:rFonts w:ascii="仿宋_GB2312" w:eastAsia="仿宋_GB2312" w:cs="仿宋_GB2312"/>
      <w:spacing w:val="10"/>
      <w:sz w:val="24"/>
      <w:szCs w:val="24"/>
    </w:rPr>
  </w:style>
  <w:style w:type="paragraph" w:styleId="23">
    <w:name w:val="Balloon Text"/>
    <w:basedOn w:val="1"/>
    <w:link w:val="69"/>
    <w:semiHidden/>
    <w:qFormat/>
    <w:uiPriority w:val="0"/>
    <w:rPr>
      <w:sz w:val="18"/>
      <w:szCs w:val="18"/>
    </w:rPr>
  </w:style>
  <w:style w:type="paragraph" w:styleId="24">
    <w:name w:val="footer"/>
    <w:basedOn w:val="1"/>
    <w:link w:val="72"/>
    <w:qFormat/>
    <w:uiPriority w:val="0"/>
    <w:pPr>
      <w:tabs>
        <w:tab w:val="center" w:pos="4153"/>
        <w:tab w:val="right" w:pos="8306"/>
      </w:tabs>
      <w:snapToGrid w:val="0"/>
      <w:jc w:val="left"/>
    </w:pPr>
    <w:rPr>
      <w:sz w:val="18"/>
      <w:szCs w:val="18"/>
    </w:rPr>
  </w:style>
  <w:style w:type="paragraph" w:styleId="25">
    <w:name w:val="header"/>
    <w:basedOn w:val="1"/>
    <w:link w:val="63"/>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semiHidden/>
    <w:qFormat/>
    <w:uiPriority w:val="0"/>
    <w:pPr>
      <w:numPr>
        <w:ilvl w:val="0"/>
        <w:numId w:val="2"/>
      </w:numPr>
      <w:spacing w:before="120" w:after="120"/>
      <w:ind w:left="562" w:hanging="420"/>
      <w:jc w:val="left"/>
    </w:pPr>
    <w:rPr>
      <w:rFonts w:ascii="Calibri" w:hAnsi="Calibri" w:cs="Calibri"/>
      <w:b/>
      <w:bCs/>
      <w:caps/>
      <w:sz w:val="20"/>
      <w:szCs w:val="20"/>
    </w:rPr>
  </w:style>
  <w:style w:type="paragraph" w:styleId="27">
    <w:name w:val="toc 4"/>
    <w:basedOn w:val="1"/>
    <w:next w:val="1"/>
    <w:semiHidden/>
    <w:qFormat/>
    <w:uiPriority w:val="0"/>
    <w:pPr>
      <w:ind w:left="630"/>
      <w:jc w:val="left"/>
    </w:pPr>
    <w:rPr>
      <w:rFonts w:ascii="Calibri" w:hAnsi="Calibri" w:cs="Calibri"/>
      <w:sz w:val="18"/>
      <w:szCs w:val="18"/>
    </w:rPr>
  </w:style>
  <w:style w:type="paragraph" w:styleId="28">
    <w:name w:val="index heading"/>
    <w:basedOn w:val="1"/>
    <w:next w:val="29"/>
    <w:semiHidden/>
    <w:qFormat/>
    <w:uiPriority w:val="0"/>
  </w:style>
  <w:style w:type="paragraph" w:styleId="29">
    <w:name w:val="index 1"/>
    <w:basedOn w:val="1"/>
    <w:next w:val="1"/>
    <w:semiHidden/>
    <w:qFormat/>
    <w:uiPriority w:val="0"/>
  </w:style>
  <w:style w:type="paragraph" w:styleId="30">
    <w:name w:val="toc 6"/>
    <w:basedOn w:val="1"/>
    <w:next w:val="1"/>
    <w:semiHidden/>
    <w:qFormat/>
    <w:uiPriority w:val="0"/>
    <w:pPr>
      <w:ind w:left="1050"/>
      <w:jc w:val="left"/>
    </w:pPr>
    <w:rPr>
      <w:rFonts w:ascii="Calibri" w:hAnsi="Calibri" w:cs="Calibri"/>
      <w:sz w:val="18"/>
      <w:szCs w:val="18"/>
    </w:rPr>
  </w:style>
  <w:style w:type="paragraph" w:styleId="31">
    <w:name w:val="Body Text Indent 3"/>
    <w:basedOn w:val="1"/>
    <w:link w:val="87"/>
    <w:qFormat/>
    <w:uiPriority w:val="0"/>
    <w:pPr>
      <w:spacing w:line="560" w:lineRule="exact"/>
      <w:ind w:firstLine="520" w:firstLineChars="200"/>
    </w:pPr>
    <w:rPr>
      <w:rFonts w:ascii="仿宋_GB2312" w:eastAsia="仿宋_GB2312" w:cs="仿宋_GB2312"/>
      <w:spacing w:val="10"/>
      <w:sz w:val="24"/>
      <w:szCs w:val="24"/>
    </w:rPr>
  </w:style>
  <w:style w:type="paragraph" w:styleId="32">
    <w:name w:val="index 7"/>
    <w:basedOn w:val="1"/>
    <w:next w:val="1"/>
    <w:semiHidden/>
    <w:qFormat/>
    <w:uiPriority w:val="0"/>
    <w:pPr>
      <w:ind w:left="1200" w:leftChars="1200"/>
    </w:pPr>
  </w:style>
  <w:style w:type="paragraph" w:styleId="33">
    <w:name w:val="index 9"/>
    <w:basedOn w:val="1"/>
    <w:next w:val="1"/>
    <w:semiHidden/>
    <w:qFormat/>
    <w:uiPriority w:val="0"/>
    <w:pPr>
      <w:ind w:left="1600" w:leftChars="1600"/>
    </w:pPr>
  </w:style>
  <w:style w:type="paragraph" w:styleId="34">
    <w:name w:val="toc 2"/>
    <w:basedOn w:val="1"/>
    <w:next w:val="1"/>
    <w:semiHidden/>
    <w:qFormat/>
    <w:uiPriority w:val="0"/>
    <w:pPr>
      <w:ind w:left="210"/>
      <w:jc w:val="left"/>
    </w:pPr>
    <w:rPr>
      <w:rFonts w:ascii="Calibri" w:hAnsi="Calibri" w:cs="Calibri"/>
      <w:smallCaps/>
      <w:sz w:val="20"/>
      <w:szCs w:val="20"/>
    </w:rPr>
  </w:style>
  <w:style w:type="paragraph" w:styleId="35">
    <w:name w:val="toc 9"/>
    <w:basedOn w:val="1"/>
    <w:next w:val="1"/>
    <w:semiHidden/>
    <w:qFormat/>
    <w:uiPriority w:val="0"/>
    <w:pPr>
      <w:ind w:left="1680"/>
      <w:jc w:val="left"/>
    </w:pPr>
    <w:rPr>
      <w:rFonts w:ascii="Calibri" w:hAnsi="Calibri" w:cs="Calibri"/>
      <w:sz w:val="18"/>
      <w:szCs w:val="18"/>
    </w:rPr>
  </w:style>
  <w:style w:type="paragraph" w:styleId="36">
    <w:name w:val="Body Text 2"/>
    <w:basedOn w:val="1"/>
    <w:link w:val="78"/>
    <w:qFormat/>
    <w:uiPriority w:val="0"/>
    <w:pPr>
      <w:spacing w:line="600" w:lineRule="exact"/>
      <w:ind w:right="-150"/>
    </w:pPr>
    <w:rPr>
      <w:rFonts w:ascii="仿宋_GB2312" w:eastAsia="仿宋_GB2312" w:cs="仿宋_GB2312"/>
      <w:spacing w:val="10"/>
      <w:sz w:val="24"/>
      <w:szCs w:val="24"/>
    </w:rPr>
  </w:style>
  <w:style w:type="paragraph" w:styleId="37">
    <w:name w:val="Normal (Web)"/>
    <w:basedOn w:val="1"/>
    <w:qFormat/>
    <w:uiPriority w:val="0"/>
    <w:pPr>
      <w:widowControl/>
      <w:spacing w:before="100" w:beforeAutospacing="1" w:after="100" w:afterAutospacing="1"/>
      <w:jc w:val="left"/>
    </w:pPr>
    <w:rPr>
      <w:rFonts w:ascii="Arial Unicode MS" w:hAnsi="Arial Unicode MS" w:cs="Arial Unicode MS"/>
      <w:kern w:val="0"/>
      <w:sz w:val="24"/>
      <w:szCs w:val="24"/>
    </w:rPr>
  </w:style>
  <w:style w:type="paragraph" w:styleId="38">
    <w:name w:val="index 2"/>
    <w:basedOn w:val="1"/>
    <w:next w:val="1"/>
    <w:semiHidden/>
    <w:qFormat/>
    <w:uiPriority w:val="0"/>
    <w:pPr>
      <w:ind w:left="200" w:leftChars="200"/>
    </w:pPr>
  </w:style>
  <w:style w:type="paragraph" w:styleId="39">
    <w:name w:val="annotation subject"/>
    <w:basedOn w:val="9"/>
    <w:next w:val="9"/>
    <w:link w:val="62"/>
    <w:semiHidden/>
    <w:qFormat/>
    <w:uiPriority w:val="0"/>
    <w:rPr>
      <w:b/>
      <w:bCs/>
    </w:rPr>
  </w:style>
  <w:style w:type="table" w:styleId="41">
    <w:name w:val="Table Grid"/>
    <w:basedOn w:val="40"/>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2">
    <w:name w:val="Table Theme"/>
    <w:basedOn w:val="40"/>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3">
    <w:name w:val="Table Colorful 3"/>
    <w:basedOn w:val="40"/>
    <w:qFormat/>
    <w:uiPriority w:val="0"/>
    <w:pPr>
      <w:widowControl w:val="0"/>
      <w:jc w:val="both"/>
    </w:pPr>
    <w:rPr>
      <w:lang w:val="en-US" w:eastAsia="zh-CN" w:bidi="ar-SA"/>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Pr>
    <w:tcPr>
      <w:shd w:val="pct25" w:color="008080" w:fill="FFFFFF"/>
    </w:tcPr>
    <w:tblStylePr w:type="firstRow">
      <w:rPr>
        <w:rFonts w:cs="Times New Roman"/>
      </w:rPr>
      <w:tblPr>
        <w:tblLayout w:type="fixed"/>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Times New Roman"/>
      </w:rPr>
      <w:tblPr>
        <w:tblLayout w:type="fixed"/>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Times New Roman"/>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44">
    <w:name w:val="Table Elegant"/>
    <w:basedOn w:val="40"/>
    <w:qFormat/>
    <w:uiPriority w:val="0"/>
    <w:pPr>
      <w:widowControl w:val="0"/>
      <w:jc w:val="both"/>
    </w:pPr>
    <w:rPr>
      <w:lang w:val="en-US" w:eastAsia="zh-CN" w:bidi="ar-SA"/>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blStylePr w:type="firstRow">
      <w:rPr>
        <w:rFonts w:cs="Times New Roman"/>
        <w:caps/>
        <w:color w:val="auto"/>
      </w:rPr>
      <w:tblPr>
        <w:tblLayout w:type="fixed"/>
      </w:tblPr>
      <w:tcPr>
        <w:tcBorders>
          <w:top w:val="nil"/>
          <w:left w:val="nil"/>
          <w:bottom w:val="nil"/>
          <w:right w:val="nil"/>
          <w:insideH w:val="nil"/>
          <w:insideV w:val="nil"/>
          <w:tl2br w:val="nil"/>
          <w:tr2bl w:val="nil"/>
        </w:tcBorders>
      </w:tcPr>
    </w:tblStylePr>
  </w:style>
  <w:style w:type="character" w:styleId="46">
    <w:name w:val="page number"/>
    <w:basedOn w:val="45"/>
    <w:qFormat/>
    <w:uiPriority w:val="0"/>
    <w:rPr>
      <w:rFonts w:cs="Times New Roman"/>
    </w:rPr>
  </w:style>
  <w:style w:type="character" w:styleId="47">
    <w:name w:val="FollowedHyperlink"/>
    <w:basedOn w:val="45"/>
    <w:qFormat/>
    <w:uiPriority w:val="0"/>
    <w:rPr>
      <w:rFonts w:cs="Times New Roman"/>
      <w:color w:val="800080"/>
      <w:u w:val="single"/>
    </w:rPr>
  </w:style>
  <w:style w:type="character" w:styleId="48">
    <w:name w:val="Hyperlink"/>
    <w:basedOn w:val="45"/>
    <w:qFormat/>
    <w:uiPriority w:val="0"/>
    <w:rPr>
      <w:rFonts w:cs="Times New Roman"/>
      <w:color w:val="0000FF"/>
      <w:u w:val="single"/>
    </w:rPr>
  </w:style>
  <w:style w:type="character" w:styleId="49">
    <w:name w:val="annotation reference"/>
    <w:basedOn w:val="45"/>
    <w:semiHidden/>
    <w:qFormat/>
    <w:uiPriority w:val="0"/>
    <w:rPr>
      <w:rFonts w:cs="Times New Roman"/>
      <w:sz w:val="21"/>
      <w:szCs w:val="21"/>
    </w:rPr>
  </w:style>
  <w:style w:type="paragraph" w:customStyle="1" w:styleId="50">
    <w:name w:val="List Paragraph1"/>
    <w:basedOn w:val="1"/>
    <w:qFormat/>
    <w:uiPriority w:val="0"/>
    <w:pPr>
      <w:ind w:firstLine="420" w:firstLineChars="200"/>
    </w:pPr>
  </w:style>
  <w:style w:type="paragraph" w:customStyle="1" w:styleId="51">
    <w:name w:val="标题4"/>
    <w:basedOn w:val="1"/>
    <w:next w:val="1"/>
    <w:qFormat/>
    <w:uiPriority w:val="0"/>
    <w:pPr>
      <w:jc w:val="left"/>
    </w:pPr>
    <w:rPr>
      <w:rFonts w:eastAsia="黑体"/>
      <w:b/>
      <w:bCs/>
      <w:sz w:val="24"/>
      <w:szCs w:val="24"/>
    </w:rPr>
  </w:style>
  <w:style w:type="paragraph" w:customStyle="1" w:styleId="52">
    <w:name w:val="默认段落字体 Para Char Char Char Char Char Char Char"/>
    <w:basedOn w:val="1"/>
    <w:qFormat/>
    <w:uiPriority w:val="0"/>
    <w:rPr>
      <w:rFonts w:ascii="Tahoma" w:hAnsi="Tahoma" w:cs="Tahoma"/>
      <w:sz w:val="24"/>
      <w:szCs w:val="24"/>
    </w:rPr>
  </w:style>
  <w:style w:type="paragraph" w:customStyle="1" w:styleId="53">
    <w:name w:val="ZW"/>
    <w:basedOn w:val="1"/>
    <w:qFormat/>
    <w:uiPriority w:val="0"/>
    <w:pPr>
      <w:adjustRightInd w:val="0"/>
      <w:spacing w:line="440" w:lineRule="atLeast"/>
      <w:ind w:firstLine="601"/>
      <w:textAlignment w:val="baseline"/>
    </w:pPr>
    <w:rPr>
      <w:rFonts w:ascii="Arial Narrow" w:eastAsia="昆仑楷体" w:cs="Arial Narrow"/>
      <w:kern w:val="0"/>
      <w:sz w:val="28"/>
      <w:szCs w:val="28"/>
    </w:rPr>
  </w:style>
  <w:style w:type="paragraph" w:customStyle="1" w:styleId="54">
    <w:name w:val="正文1"/>
    <w:link w:val="60"/>
    <w:qFormat/>
    <w:uiPriority w:val="0"/>
    <w:pPr>
      <w:widowControl w:val="0"/>
      <w:adjustRightInd w:val="0"/>
      <w:spacing w:line="315" w:lineRule="atLeast"/>
      <w:jc w:val="both"/>
      <w:textAlignment w:val="baseline"/>
    </w:pPr>
    <w:rPr>
      <w:rFonts w:ascii="宋体" w:hAnsi="Times New Roman" w:eastAsia="宋体" w:cs="宋体"/>
      <w:sz w:val="21"/>
      <w:szCs w:val="21"/>
      <w:lang w:val="en-US" w:eastAsia="zh-CN" w:bidi="ar-SA"/>
    </w:rPr>
  </w:style>
  <w:style w:type="paragraph" w:customStyle="1" w:styleId="55">
    <w:name w:val="zw"/>
    <w:basedOn w:val="53"/>
    <w:qFormat/>
    <w:uiPriority w:val="0"/>
    <w:pPr>
      <w:spacing w:line="360" w:lineRule="auto"/>
      <w:ind w:firstLine="482"/>
    </w:pPr>
    <w:rPr>
      <w:rFonts w:hAnsi="Arial Narrow" w:eastAsia="楷体_GB2312"/>
      <w:sz w:val="24"/>
      <w:szCs w:val="24"/>
    </w:rPr>
  </w:style>
  <w:style w:type="paragraph" w:customStyle="1" w:styleId="56">
    <w:name w:val="TOC Heading1"/>
    <w:basedOn w:val="2"/>
    <w:next w:val="1"/>
    <w:qFormat/>
    <w:uiPriority w:val="0"/>
    <w:pPr>
      <w:keepLines/>
      <w:widowControl/>
      <w:spacing w:before="480" w:line="276" w:lineRule="auto"/>
      <w:jc w:val="left"/>
      <w:outlineLvl w:val="9"/>
    </w:pPr>
    <w:rPr>
      <w:rFonts w:ascii="Cambria" w:hAnsi="Cambria" w:eastAsia="宋体" w:cs="Cambria"/>
      <w:b/>
      <w:bCs/>
      <w:color w:val="365F91"/>
      <w:kern w:val="0"/>
    </w:rPr>
  </w:style>
  <w:style w:type="paragraph" w:customStyle="1" w:styleId="57">
    <w:name w:val="图表名"/>
    <w:basedOn w:val="1"/>
    <w:qFormat/>
    <w:uiPriority w:val="0"/>
    <w:pPr>
      <w:ind w:firstLine="422" w:firstLineChars="200"/>
      <w:jc w:val="center"/>
    </w:pPr>
    <w:rPr>
      <w:rFonts w:ascii="宋体" w:hAnsi="宋体" w:cs="宋体"/>
      <w:b/>
      <w:bCs/>
    </w:rPr>
  </w:style>
  <w:style w:type="character" w:customStyle="1" w:styleId="58">
    <w:name w:val="Comment Text Char"/>
    <w:basedOn w:val="45"/>
    <w:link w:val="9"/>
    <w:qFormat/>
    <w:locked/>
    <w:uiPriority w:val="0"/>
    <w:rPr>
      <w:rFonts w:ascii="Times New Roman" w:hAnsi="Times New Roman" w:eastAsia="宋体" w:cs="Times New Roman"/>
      <w:sz w:val="20"/>
      <w:szCs w:val="20"/>
    </w:rPr>
  </w:style>
  <w:style w:type="character" w:customStyle="1" w:styleId="59">
    <w:name w:val="img_wrapper_img_descr"/>
    <w:basedOn w:val="45"/>
    <w:qFormat/>
    <w:uiPriority w:val="0"/>
    <w:rPr>
      <w:rFonts w:cs="Times New Roman"/>
    </w:rPr>
  </w:style>
  <w:style w:type="character" w:customStyle="1" w:styleId="60">
    <w:name w:val="正文1 Char"/>
    <w:basedOn w:val="45"/>
    <w:link w:val="54"/>
    <w:qFormat/>
    <w:locked/>
    <w:uiPriority w:val="0"/>
    <w:rPr>
      <w:rFonts w:ascii="宋体" w:cs="宋体"/>
      <w:sz w:val="21"/>
      <w:szCs w:val="21"/>
      <w:lang w:val="en-US" w:eastAsia="zh-CN" w:bidi="ar-SA"/>
    </w:rPr>
  </w:style>
  <w:style w:type="character" w:customStyle="1" w:styleId="61">
    <w:name w:val="Salutation Char"/>
    <w:basedOn w:val="45"/>
    <w:link w:val="11"/>
    <w:qFormat/>
    <w:locked/>
    <w:uiPriority w:val="0"/>
    <w:rPr>
      <w:rFonts w:ascii="仿宋_GB2312" w:hAnsi="Times New Roman" w:eastAsia="仿宋_GB2312" w:cs="仿宋_GB2312"/>
      <w:sz w:val="20"/>
      <w:szCs w:val="20"/>
    </w:rPr>
  </w:style>
  <w:style w:type="character" w:customStyle="1" w:styleId="62">
    <w:name w:val="Comment Subject Char"/>
    <w:basedOn w:val="58"/>
    <w:link w:val="39"/>
    <w:qFormat/>
    <w:locked/>
    <w:uiPriority w:val="0"/>
    <w:rPr>
      <w:b/>
      <w:bCs/>
    </w:rPr>
  </w:style>
  <w:style w:type="character" w:customStyle="1" w:styleId="63">
    <w:name w:val="Header Char"/>
    <w:basedOn w:val="45"/>
    <w:link w:val="25"/>
    <w:qFormat/>
    <w:locked/>
    <w:uiPriority w:val="0"/>
    <w:rPr>
      <w:rFonts w:cs="Times New Roman"/>
      <w:sz w:val="18"/>
      <w:szCs w:val="18"/>
    </w:rPr>
  </w:style>
  <w:style w:type="character" w:customStyle="1" w:styleId="64">
    <w:name w:val="Body Text Indent 2 Char"/>
    <w:basedOn w:val="45"/>
    <w:link w:val="22"/>
    <w:qFormat/>
    <w:locked/>
    <w:uiPriority w:val="0"/>
    <w:rPr>
      <w:rFonts w:ascii="仿宋_GB2312" w:hAnsi="Times New Roman" w:eastAsia="仿宋_GB2312" w:cs="仿宋_GB2312"/>
      <w:spacing w:val="10"/>
      <w:sz w:val="20"/>
      <w:szCs w:val="20"/>
    </w:rPr>
  </w:style>
  <w:style w:type="character" w:customStyle="1" w:styleId="65">
    <w:name w:val="正文文本缩进 3 Char"/>
    <w:qFormat/>
    <w:uiPriority w:val="0"/>
    <w:rPr>
      <w:rFonts w:ascii="仿宋_GB2312" w:eastAsia="仿宋_GB2312"/>
      <w:spacing w:val="10"/>
      <w:kern w:val="2"/>
      <w:sz w:val="24"/>
    </w:rPr>
  </w:style>
  <w:style w:type="character" w:customStyle="1" w:styleId="66">
    <w:name w:val="font51"/>
    <w:basedOn w:val="45"/>
    <w:qFormat/>
    <w:uiPriority w:val="0"/>
    <w:rPr>
      <w:rFonts w:ascii="宋体" w:hAnsi="宋体" w:eastAsia="宋体" w:cs="宋体"/>
      <w:color w:val="000000"/>
      <w:sz w:val="20"/>
      <w:szCs w:val="20"/>
      <w:u w:val="none"/>
    </w:rPr>
  </w:style>
  <w:style w:type="character" w:customStyle="1" w:styleId="67">
    <w:name w:val="Body Text Char"/>
    <w:basedOn w:val="45"/>
    <w:link w:val="13"/>
    <w:qFormat/>
    <w:locked/>
    <w:uiPriority w:val="0"/>
    <w:rPr>
      <w:rFonts w:ascii="仿宋_GB2312" w:hAnsi="Times New Roman" w:eastAsia="仿宋_GB2312" w:cs="仿宋_GB2312"/>
      <w:sz w:val="20"/>
      <w:szCs w:val="20"/>
    </w:rPr>
  </w:style>
  <w:style w:type="character" w:customStyle="1" w:styleId="68">
    <w:name w:val="Document Map Char"/>
    <w:basedOn w:val="45"/>
    <w:link w:val="8"/>
    <w:semiHidden/>
    <w:qFormat/>
    <w:locked/>
    <w:uiPriority w:val="0"/>
    <w:rPr>
      <w:rFonts w:ascii="Times New Roman" w:hAnsi="Times New Roman" w:eastAsia="宋体" w:cs="Times New Roman"/>
      <w:sz w:val="20"/>
      <w:szCs w:val="20"/>
      <w:shd w:val="clear" w:color="auto" w:fill="000080"/>
    </w:rPr>
  </w:style>
  <w:style w:type="character" w:customStyle="1" w:styleId="69">
    <w:name w:val="Balloon Text Char"/>
    <w:basedOn w:val="45"/>
    <w:link w:val="23"/>
    <w:qFormat/>
    <w:locked/>
    <w:uiPriority w:val="0"/>
    <w:rPr>
      <w:rFonts w:ascii="Times New Roman" w:hAnsi="Times New Roman" w:eastAsia="宋体" w:cs="Times New Roman"/>
      <w:sz w:val="18"/>
      <w:szCs w:val="18"/>
    </w:rPr>
  </w:style>
  <w:style w:type="character" w:customStyle="1" w:styleId="70">
    <w:name w:val="font21"/>
    <w:basedOn w:val="45"/>
    <w:qFormat/>
    <w:uiPriority w:val="0"/>
    <w:rPr>
      <w:rFonts w:ascii="宋体" w:hAnsi="宋体" w:eastAsia="宋体" w:cs="宋体"/>
      <w:color w:val="000000"/>
      <w:sz w:val="20"/>
      <w:szCs w:val="20"/>
      <w:u w:val="none"/>
    </w:rPr>
  </w:style>
  <w:style w:type="character" w:customStyle="1" w:styleId="71">
    <w:name w:val="Heading 3 Char"/>
    <w:basedOn w:val="45"/>
    <w:link w:val="4"/>
    <w:qFormat/>
    <w:locked/>
    <w:uiPriority w:val="0"/>
    <w:rPr>
      <w:rFonts w:ascii="Times New Roman" w:hAnsi="Times New Roman" w:eastAsia="宋体" w:cs="Times New Roman"/>
      <w:b/>
      <w:bCs/>
      <w:sz w:val="32"/>
      <w:szCs w:val="32"/>
    </w:rPr>
  </w:style>
  <w:style w:type="character" w:customStyle="1" w:styleId="72">
    <w:name w:val="Footer Char"/>
    <w:basedOn w:val="45"/>
    <w:link w:val="24"/>
    <w:qFormat/>
    <w:locked/>
    <w:uiPriority w:val="0"/>
    <w:rPr>
      <w:rFonts w:cs="Times New Roman"/>
      <w:sz w:val="18"/>
      <w:szCs w:val="18"/>
    </w:rPr>
  </w:style>
  <w:style w:type="character" w:customStyle="1" w:styleId="73">
    <w:name w:val="font31"/>
    <w:basedOn w:val="45"/>
    <w:qFormat/>
    <w:uiPriority w:val="0"/>
    <w:rPr>
      <w:rFonts w:ascii="宋体" w:hAnsi="宋体" w:eastAsia="宋体" w:cs="宋体"/>
      <w:color w:val="000000"/>
      <w:sz w:val="20"/>
      <w:szCs w:val="20"/>
      <w:u w:val="none"/>
    </w:rPr>
  </w:style>
  <w:style w:type="character" w:customStyle="1" w:styleId="74">
    <w:name w:val="Heading 1 Char"/>
    <w:basedOn w:val="45"/>
    <w:link w:val="2"/>
    <w:qFormat/>
    <w:locked/>
    <w:uiPriority w:val="0"/>
    <w:rPr>
      <w:rFonts w:ascii="仿宋_GB2312" w:hAnsi="Times New Roman" w:eastAsia="仿宋_GB2312" w:cs="仿宋_GB2312"/>
      <w:sz w:val="20"/>
      <w:szCs w:val="20"/>
    </w:rPr>
  </w:style>
  <w:style w:type="character" w:customStyle="1" w:styleId="75">
    <w:name w:val="Char Char3"/>
    <w:qFormat/>
    <w:uiPriority w:val="0"/>
    <w:rPr>
      <w:rFonts w:ascii="宋体" w:hAnsi="Courier New" w:eastAsia="宋体"/>
      <w:sz w:val="20"/>
    </w:rPr>
  </w:style>
  <w:style w:type="character" w:customStyle="1" w:styleId="76">
    <w:name w:val="Date Char"/>
    <w:basedOn w:val="45"/>
    <w:link w:val="21"/>
    <w:qFormat/>
    <w:locked/>
    <w:uiPriority w:val="0"/>
    <w:rPr>
      <w:rFonts w:ascii="仿宋_GB2312" w:hAnsi="Times New Roman" w:eastAsia="仿宋_GB2312" w:cs="仿宋_GB2312"/>
      <w:sz w:val="20"/>
      <w:szCs w:val="20"/>
    </w:rPr>
  </w:style>
  <w:style w:type="character" w:customStyle="1" w:styleId="77">
    <w:name w:val="font61"/>
    <w:basedOn w:val="45"/>
    <w:qFormat/>
    <w:uiPriority w:val="0"/>
    <w:rPr>
      <w:rFonts w:ascii="宋体" w:hAnsi="宋体" w:eastAsia="宋体" w:cs="宋体"/>
      <w:color w:val="000000"/>
      <w:sz w:val="20"/>
      <w:szCs w:val="20"/>
      <w:u w:val="none"/>
      <w:vertAlign w:val="superscript"/>
    </w:rPr>
  </w:style>
  <w:style w:type="character" w:customStyle="1" w:styleId="78">
    <w:name w:val="Body Text 2 Char"/>
    <w:basedOn w:val="45"/>
    <w:link w:val="36"/>
    <w:qFormat/>
    <w:locked/>
    <w:uiPriority w:val="0"/>
    <w:rPr>
      <w:rFonts w:ascii="仿宋_GB2312" w:hAnsi="Times New Roman" w:eastAsia="仿宋_GB2312" w:cs="仿宋_GB2312"/>
      <w:spacing w:val="10"/>
      <w:sz w:val="20"/>
      <w:szCs w:val="20"/>
    </w:rPr>
  </w:style>
  <w:style w:type="character" w:customStyle="1" w:styleId="79">
    <w:name w:val="Heading 2 Char"/>
    <w:basedOn w:val="45"/>
    <w:link w:val="3"/>
    <w:qFormat/>
    <w:locked/>
    <w:uiPriority w:val="0"/>
    <w:rPr>
      <w:rFonts w:ascii="仿宋_GB2312" w:hAnsi="Times New Roman" w:eastAsia="仿宋_GB2312" w:cs="仿宋_GB2312"/>
      <w:b/>
      <w:bCs/>
      <w:sz w:val="20"/>
      <w:szCs w:val="20"/>
    </w:rPr>
  </w:style>
  <w:style w:type="character" w:customStyle="1" w:styleId="80">
    <w:name w:val="Body Text Indent Char"/>
    <w:basedOn w:val="45"/>
    <w:link w:val="14"/>
    <w:qFormat/>
    <w:locked/>
    <w:uiPriority w:val="0"/>
    <w:rPr>
      <w:rFonts w:ascii="仿宋_GB2312" w:hAnsi="Times New Roman" w:eastAsia="仿宋_GB2312" w:cs="仿宋_GB2312"/>
      <w:color w:val="FF0000"/>
      <w:spacing w:val="10"/>
      <w:sz w:val="20"/>
      <w:szCs w:val="20"/>
    </w:rPr>
  </w:style>
  <w:style w:type="character" w:customStyle="1" w:styleId="81">
    <w:name w:val="font41"/>
    <w:basedOn w:val="45"/>
    <w:qFormat/>
    <w:uiPriority w:val="0"/>
    <w:rPr>
      <w:rFonts w:ascii="宋体" w:hAnsi="宋体" w:eastAsia="宋体" w:cs="宋体"/>
      <w:color w:val="000000"/>
      <w:sz w:val="20"/>
      <w:szCs w:val="20"/>
      <w:u w:val="none"/>
      <w:vertAlign w:val="superscript"/>
    </w:rPr>
  </w:style>
  <w:style w:type="character" w:customStyle="1" w:styleId="82">
    <w:name w:val="font01"/>
    <w:basedOn w:val="45"/>
    <w:qFormat/>
    <w:uiPriority w:val="0"/>
    <w:rPr>
      <w:rFonts w:ascii="宋体" w:hAnsi="宋体" w:eastAsia="宋体" w:cs="宋体"/>
      <w:color w:val="000000"/>
      <w:sz w:val="20"/>
      <w:szCs w:val="20"/>
      <w:u w:val="none"/>
      <w:vertAlign w:val="superscript"/>
    </w:rPr>
  </w:style>
  <w:style w:type="character" w:customStyle="1" w:styleId="83">
    <w:name w:val="font11"/>
    <w:basedOn w:val="45"/>
    <w:qFormat/>
    <w:uiPriority w:val="0"/>
    <w:rPr>
      <w:rFonts w:ascii="宋体" w:hAnsi="宋体" w:eastAsia="宋体" w:cs="宋体"/>
      <w:color w:val="000000"/>
      <w:sz w:val="20"/>
      <w:szCs w:val="20"/>
      <w:u w:val="none"/>
    </w:rPr>
  </w:style>
  <w:style w:type="character" w:customStyle="1" w:styleId="84">
    <w:name w:val="apple-converted-space"/>
    <w:qFormat/>
    <w:uiPriority w:val="0"/>
  </w:style>
  <w:style w:type="character" w:customStyle="1" w:styleId="85">
    <w:name w:val="Closing Char"/>
    <w:basedOn w:val="45"/>
    <w:link w:val="12"/>
    <w:qFormat/>
    <w:locked/>
    <w:uiPriority w:val="0"/>
    <w:rPr>
      <w:rFonts w:ascii="仿宋_GB2312" w:hAnsi="Times New Roman" w:eastAsia="仿宋_GB2312" w:cs="仿宋_GB2312"/>
      <w:sz w:val="20"/>
      <w:szCs w:val="20"/>
    </w:rPr>
  </w:style>
  <w:style w:type="character" w:customStyle="1" w:styleId="86">
    <w:name w:val="Plain Text Char"/>
    <w:basedOn w:val="45"/>
    <w:link w:val="18"/>
    <w:qFormat/>
    <w:locked/>
    <w:uiPriority w:val="0"/>
    <w:rPr>
      <w:rFonts w:ascii="宋体" w:hAnsi="Courier New" w:eastAsia="宋体" w:cs="宋体"/>
      <w:sz w:val="20"/>
      <w:szCs w:val="20"/>
    </w:rPr>
  </w:style>
  <w:style w:type="character" w:customStyle="1" w:styleId="87">
    <w:name w:val="Body Text Indent 3 Char"/>
    <w:basedOn w:val="45"/>
    <w:link w:val="31"/>
    <w:qFormat/>
    <w:locked/>
    <w:uiPriority w:val="0"/>
    <w:rPr>
      <w:rFonts w:ascii="仿宋_GB2312" w:hAnsi="Times New Roman" w:eastAsia="仿宋_GB2312" w:cs="仿宋_GB2312"/>
      <w:spacing w:val="10"/>
      <w:sz w:val="20"/>
      <w:szCs w:val="20"/>
    </w:rPr>
  </w:style>
  <w:style w:type="table" w:customStyle="1" w:styleId="88">
    <w:name w:val="样式1"/>
    <w:qFormat/>
    <w:uiPriority w:val="0"/>
    <w:rPr>
      <w:lang w:val="en-US" w:eastAsia="zh-CN" w:bidi="ar-SA"/>
    </w:rPr>
    <w:tblPr>
      <w:tblLayout w:type="fixed"/>
      <w:tblCellMar>
        <w:top w:w="0" w:type="dxa"/>
        <w:left w:w="108" w:type="dxa"/>
        <w:bottom w:w="0" w:type="dxa"/>
        <w:right w:w="108" w:type="dxa"/>
      </w:tblCellMar>
    </w:tblPr>
    <w:tcPr>
      <w:shd w:val="clear" w:color="auto" w:fill="BFBFBF"/>
    </w:tc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3382</Words>
  <Characters>19284</Characters>
  <Lines>160</Lines>
  <Paragraphs>45</Paragraphs>
  <TotalTime>5</TotalTime>
  <ScaleCrop>false</ScaleCrop>
  <LinksUpToDate>false</LinksUpToDate>
  <CharactersWithSpaces>22621</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2018-11-12T08:34:00Z</dcterms:created>
  <dc:creator>龚嫦娥 </dc:creator>
  <cp:lastModifiedBy>Administrator</cp:lastModifiedBy>
  <cp:lastPrinted>2015-11-12T01:12:00Z</cp:lastPrinted>
  <dcterms:modified xsi:type="dcterms:W3CDTF">2019-05-22T01:14:02Z</dcterms:modified>
  <dc:title>房地产估价报告</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